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DBBDD" w14:textId="7BAD4992" w:rsidR="00D20D97" w:rsidRDefault="00D20D97" w:rsidP="00D20D97">
      <w:pPr>
        <w:pStyle w:val="Intestazione"/>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ENTI DI DIRITTO PRIVATO IN CONTROLLO PUBBLICO</w:t>
      </w:r>
      <w:r w:rsidR="00521540">
        <w:rPr>
          <w:rFonts w:asciiTheme="majorHAnsi" w:eastAsiaTheme="majorEastAsia" w:hAnsiTheme="majorHAnsi" w:cstheme="majorBidi"/>
          <w:sz w:val="32"/>
          <w:szCs w:val="32"/>
        </w:rPr>
        <w:t xml:space="preserve"> </w:t>
      </w:r>
      <w:r w:rsidRPr="00AE45ED">
        <w:rPr>
          <w:rStyle w:val="Rimandonotaapidipagina"/>
          <w:sz w:val="20"/>
        </w:rPr>
        <w:footnoteReference w:id="1"/>
      </w:r>
    </w:p>
    <w:p w14:paraId="41EC61E5" w14:textId="77777777" w:rsidR="005B4263" w:rsidRDefault="005B4263" w:rsidP="00D20D97">
      <w:pPr>
        <w:pStyle w:val="Intestazione"/>
        <w:jc w:val="center"/>
      </w:pPr>
    </w:p>
    <w:p w14:paraId="0571C02B" w14:textId="15FF8E62" w:rsidR="00113CB0" w:rsidRPr="00113CB0" w:rsidRDefault="00C0653D" w:rsidP="00113CB0">
      <w:pPr>
        <w:jc w:val="both"/>
        <w:rPr>
          <w:rFonts w:ascii="Titillium" w:hAnsi="Titillium" w:cs="Titillium Web"/>
          <w:sz w:val="20"/>
          <w:szCs w:val="20"/>
        </w:rPr>
      </w:pPr>
      <w:r w:rsidRPr="00691E8A">
        <w:rPr>
          <w:rFonts w:ascii="Titillium" w:hAnsi="Titillium" w:cs="Titillium Web"/>
          <w:sz w:val="20"/>
          <w:szCs w:val="20"/>
        </w:rPr>
        <w:t xml:space="preserve">Il sottoscritto </w:t>
      </w:r>
      <w:r w:rsidR="005B4263">
        <w:rPr>
          <w:rFonts w:ascii="Titillium" w:hAnsi="Titillium" w:cs="Titillium Web"/>
          <w:sz w:val="20"/>
          <w:szCs w:val="20"/>
        </w:rPr>
        <w:t>Massimo Cimadoro</w:t>
      </w:r>
      <w:r w:rsidR="0054713A">
        <w:rPr>
          <w:rFonts w:ascii="Titillium" w:hAnsi="Titillium" w:cs="Titillium Web"/>
          <w:sz w:val="20"/>
          <w:szCs w:val="20"/>
        </w:rPr>
        <w:t xml:space="preserve"> </w:t>
      </w:r>
      <w:r w:rsidR="008B77B1">
        <w:rPr>
          <w:rFonts w:ascii="Titillium" w:hAnsi="Titillium" w:cs="Titillium Web"/>
          <w:sz w:val="20"/>
          <w:szCs w:val="20"/>
        </w:rPr>
        <w:t xml:space="preserve">con riferimento all’incarico di </w:t>
      </w:r>
      <w:r w:rsidR="005B4263">
        <w:rPr>
          <w:rFonts w:ascii="Titillium" w:hAnsi="Titillium" w:cs="Titillium Web"/>
          <w:sz w:val="20"/>
          <w:szCs w:val="20"/>
        </w:rPr>
        <w:t>Amministratore Unico</w:t>
      </w:r>
      <w:r w:rsidR="0054713A">
        <w:rPr>
          <w:rFonts w:ascii="Titillium" w:hAnsi="Titillium" w:cs="Titillium Web"/>
          <w:sz w:val="20"/>
          <w:szCs w:val="20"/>
        </w:rPr>
        <w:t xml:space="preserve"> </w:t>
      </w:r>
      <w:r w:rsidR="0054713A" w:rsidRPr="00CF42DA">
        <w:rPr>
          <w:rFonts w:ascii="Titillium" w:hAnsi="Titillium" w:cs="Titillium Web"/>
          <w:sz w:val="20"/>
          <w:szCs w:val="20"/>
        </w:rPr>
        <w:t xml:space="preserve">in corso di conferimento </w:t>
      </w:r>
      <w:r w:rsidR="008B77B1">
        <w:rPr>
          <w:rFonts w:ascii="Titillium" w:hAnsi="Titillium" w:cs="Titillium Web"/>
          <w:sz w:val="20"/>
          <w:szCs w:val="20"/>
        </w:rPr>
        <w:t xml:space="preserve">presso </w:t>
      </w:r>
      <w:r w:rsidR="005B4263">
        <w:rPr>
          <w:rFonts w:ascii="Titillium" w:hAnsi="Titillium" w:cs="Titillium Web"/>
          <w:sz w:val="20"/>
          <w:szCs w:val="20"/>
        </w:rPr>
        <w:t xml:space="preserve">la società Monteriggioni AD 1213 </w:t>
      </w:r>
      <w:proofErr w:type="spellStart"/>
      <w:r w:rsidR="005B4263">
        <w:rPr>
          <w:rFonts w:ascii="Titillium" w:hAnsi="Titillium" w:cs="Titillium Web"/>
          <w:sz w:val="20"/>
          <w:szCs w:val="20"/>
        </w:rPr>
        <w:t>srl</w:t>
      </w:r>
      <w:proofErr w:type="spellEnd"/>
      <w:r w:rsidRPr="00691E8A">
        <w:rPr>
          <w:rFonts w:ascii="Titillium" w:hAnsi="Titillium" w:cs="Titillium Web"/>
          <w:sz w:val="20"/>
          <w:szCs w:val="20"/>
        </w:rPr>
        <w:t>,</w:t>
      </w:r>
      <w:r w:rsidR="00113CB0" w:rsidRPr="00113CB0">
        <w:rPr>
          <w:sz w:val="20"/>
        </w:rPr>
        <w:t xml:space="preserve"> </w:t>
      </w:r>
      <w:r w:rsidR="00113CB0" w:rsidRPr="00BD6D9B">
        <w:rPr>
          <w:rFonts w:ascii="Titillium" w:hAnsi="Titillium" w:cs="Titillium Web"/>
          <w:sz w:val="20"/>
          <w:szCs w:val="20"/>
        </w:rPr>
        <w:t>ai sensi delle disposizioni di cui agli articoli 46 e 47 del D.P.R. 28 dicembre 2000, n. 445 “Testo unico delle disposizioni legislative e regolamentari in materia di documentazione amministrativa”, nonché a</w:t>
      </w:r>
      <w:r w:rsidR="00113CB0" w:rsidRPr="00113CB0">
        <w:rPr>
          <w:rFonts w:ascii="Titillium" w:hAnsi="Titillium" w:cs="Titillium Web"/>
          <w:sz w:val="20"/>
          <w:szCs w:val="20"/>
        </w:rPr>
        <w:t xml:space="preserve">i sensi dell’art. 20 del d.lgs. n. 39 dell’08.04.2013, consapevole delle responsabilità penali in caso di dichiarazioni mendaci, falsità in atti e uso di atti falsi, di cui agli articoli 75 e 76 del citato D.P.R. n. 445/2000, nonché delle sanzioni di cui all’art. 20, comma </w:t>
      </w:r>
      <w:r w:rsidR="00113CB0" w:rsidRPr="00C541DE">
        <w:rPr>
          <w:rFonts w:ascii="Titillium" w:hAnsi="Titillium" w:cs="Titillium Web"/>
          <w:sz w:val="20"/>
          <w:szCs w:val="20"/>
        </w:rPr>
        <w:t>5</w:t>
      </w:r>
      <w:r w:rsidR="003440FD" w:rsidRPr="00C541DE">
        <w:rPr>
          <w:rFonts w:ascii="Titillium" w:hAnsi="Titillium" w:cs="Titillium Web"/>
          <w:sz w:val="20"/>
          <w:szCs w:val="20"/>
        </w:rPr>
        <w:t>,</w:t>
      </w:r>
      <w:r w:rsidR="00113CB0" w:rsidRPr="00C541DE">
        <w:rPr>
          <w:rFonts w:ascii="Titillium" w:hAnsi="Titillium" w:cs="Titillium Web"/>
          <w:sz w:val="20"/>
          <w:szCs w:val="20"/>
        </w:rPr>
        <w:t xml:space="preserve"> del</w:t>
      </w:r>
      <w:r w:rsidR="00113CB0" w:rsidRPr="00113CB0">
        <w:rPr>
          <w:rFonts w:ascii="Titillium" w:hAnsi="Titillium" w:cs="Titillium Web"/>
          <w:sz w:val="20"/>
          <w:szCs w:val="20"/>
        </w:rPr>
        <w:t xml:space="preserve"> d.lgs. n. 39 dell’08.04.2013</w:t>
      </w:r>
      <w:r w:rsidR="001F57F5">
        <w:rPr>
          <w:rFonts w:ascii="Titillium" w:hAnsi="Titillium" w:cs="Titillium Web"/>
          <w:sz w:val="20"/>
          <w:szCs w:val="20"/>
        </w:rPr>
        <w:t xml:space="preserve"> </w:t>
      </w:r>
    </w:p>
    <w:p w14:paraId="77E5F461" w14:textId="3D3C4824" w:rsidR="00A76C67" w:rsidRDefault="00C0653D" w:rsidP="00A76C67">
      <w:pPr>
        <w:spacing w:line="360" w:lineRule="auto"/>
        <w:jc w:val="center"/>
        <w:rPr>
          <w:rFonts w:ascii="Titillium" w:hAnsi="Titillium" w:cs="Titillium Web"/>
          <w:sz w:val="20"/>
          <w:szCs w:val="20"/>
        </w:rPr>
      </w:pPr>
      <w:r w:rsidRPr="006750D3">
        <w:rPr>
          <w:rFonts w:ascii="Titillium" w:hAnsi="Titillium" w:cs="Titillium Web"/>
          <w:b/>
          <w:bCs/>
          <w:sz w:val="20"/>
          <w:szCs w:val="20"/>
        </w:rPr>
        <w:t>DICH</w:t>
      </w:r>
      <w:r w:rsidR="00095A1A" w:rsidRPr="006750D3">
        <w:rPr>
          <w:rFonts w:ascii="Titillium" w:hAnsi="Titillium" w:cs="Titillium Web"/>
          <w:b/>
          <w:bCs/>
          <w:sz w:val="20"/>
          <w:szCs w:val="20"/>
        </w:rPr>
        <w:t>IARA</w:t>
      </w:r>
      <w:r w:rsidR="006750D3" w:rsidRPr="00AE45ED">
        <w:rPr>
          <w:rStyle w:val="Rimandonotaapidipagina"/>
          <w:sz w:val="20"/>
        </w:rPr>
        <w:footnoteReference w:id="2"/>
      </w:r>
    </w:p>
    <w:p w14:paraId="7E3C4458" w14:textId="3B5F1653" w:rsidR="00CE4F92" w:rsidRDefault="00095A1A" w:rsidP="00783A52">
      <w:pPr>
        <w:tabs>
          <w:tab w:val="left" w:pos="142"/>
        </w:tabs>
        <w:spacing w:line="360" w:lineRule="auto"/>
        <w:jc w:val="both"/>
        <w:rPr>
          <w:rFonts w:ascii="Titillium" w:hAnsi="Titillium" w:cs="Titillium Web"/>
          <w:sz w:val="20"/>
          <w:szCs w:val="20"/>
        </w:rPr>
      </w:pPr>
      <w:r w:rsidRPr="0054713A">
        <w:rPr>
          <w:rFonts w:ascii="Titillium" w:hAnsi="Titillium" w:cs="Titillium Web"/>
          <w:sz w:val="20"/>
          <w:szCs w:val="20"/>
        </w:rPr>
        <w:t>c</w:t>
      </w:r>
      <w:r w:rsidR="0015463B" w:rsidRPr="0054713A">
        <w:rPr>
          <w:rFonts w:ascii="Titillium" w:hAnsi="Titillium" w:cs="Titillium Web"/>
          <w:sz w:val="20"/>
          <w:szCs w:val="20"/>
        </w:rPr>
        <w:t xml:space="preserve">on riferimento alle situazioni di </w:t>
      </w:r>
      <w:r w:rsidR="0015463B" w:rsidRPr="0054713A">
        <w:rPr>
          <w:rFonts w:ascii="Titillium" w:hAnsi="Titillium" w:cs="Titillium Web"/>
          <w:b/>
          <w:sz w:val="20"/>
          <w:szCs w:val="20"/>
        </w:rPr>
        <w:t>INCONFERIBILITA’</w:t>
      </w:r>
      <w:r w:rsidR="006750D3">
        <w:rPr>
          <w:rFonts w:ascii="Titillium" w:hAnsi="Titillium" w:cs="Titillium Web"/>
          <w:b/>
          <w:sz w:val="20"/>
          <w:szCs w:val="20"/>
        </w:rPr>
        <w:t xml:space="preserve"> </w:t>
      </w:r>
      <w:r w:rsidR="002A43B7" w:rsidRPr="0054713A">
        <w:rPr>
          <w:rFonts w:ascii="Titillium" w:hAnsi="Titillium" w:cs="Titillium Web"/>
          <w:sz w:val="20"/>
          <w:szCs w:val="20"/>
        </w:rPr>
        <w:t>disciplinate dal d</w:t>
      </w:r>
      <w:r w:rsidR="0015463B" w:rsidRPr="0054713A">
        <w:rPr>
          <w:rFonts w:ascii="Titillium" w:hAnsi="Titillium" w:cs="Titillium Web"/>
          <w:sz w:val="20"/>
          <w:szCs w:val="20"/>
        </w:rPr>
        <w:t>.lgs. n. 39/2013</w:t>
      </w:r>
      <w:r w:rsidR="00F72E24">
        <w:rPr>
          <w:rFonts w:ascii="Titillium" w:hAnsi="Titillium" w:cs="Titillium Web"/>
          <w:sz w:val="20"/>
          <w:szCs w:val="20"/>
        </w:rPr>
        <w:t>:</w:t>
      </w:r>
    </w:p>
    <w:p w14:paraId="77C3FF05" w14:textId="32CE7866" w:rsidR="00991B5F" w:rsidRDefault="00F72E24" w:rsidP="00F72E24">
      <w:pPr>
        <w:pStyle w:val="Paragrafoelenco"/>
        <w:tabs>
          <w:tab w:val="left" w:pos="993"/>
        </w:tabs>
        <w:ind w:left="709"/>
        <w:contextualSpacing w:val="0"/>
        <w:jc w:val="both"/>
        <w:rPr>
          <w:rFonts w:ascii="Titillium" w:hAnsi="Titillium"/>
          <w:b/>
          <w:bCs/>
          <w:sz w:val="20"/>
        </w:rPr>
      </w:pPr>
      <w:r>
        <w:rPr>
          <w:rFonts w:ascii="Titillium" w:hAnsi="Titillium"/>
          <w:b/>
          <w:bCs/>
          <w:sz w:val="20"/>
        </w:rPr>
        <w:t>(</w:t>
      </w:r>
      <w:r w:rsidR="00D15D33" w:rsidRPr="00D15D33">
        <w:rPr>
          <w:rFonts w:ascii="Titillium" w:hAnsi="Titillium"/>
          <w:b/>
          <w:bCs/>
          <w:sz w:val="20"/>
        </w:rPr>
        <w:t>Inconferibilità in caso di condanna per reati contro la pubblica amministrazione</w:t>
      </w:r>
      <w:r>
        <w:rPr>
          <w:rFonts w:ascii="Titillium" w:hAnsi="Titillium"/>
          <w:b/>
          <w:bCs/>
          <w:sz w:val="20"/>
        </w:rPr>
        <w:t>)</w:t>
      </w:r>
    </w:p>
    <w:p w14:paraId="3CE61FA9" w14:textId="35EDBD24" w:rsidR="00B772BC" w:rsidRPr="00882A6A" w:rsidRDefault="00D95F85" w:rsidP="00B772BC">
      <w:pPr>
        <w:pStyle w:val="Paragrafoelenco"/>
        <w:tabs>
          <w:tab w:val="left" w:pos="993"/>
        </w:tabs>
        <w:ind w:left="709"/>
        <w:contextualSpacing w:val="0"/>
        <w:jc w:val="both"/>
        <w:rPr>
          <w:rFonts w:ascii="Titillium" w:hAnsi="Titillium"/>
          <w:sz w:val="20"/>
        </w:rPr>
      </w:pPr>
      <w:r>
        <w:rPr>
          <w:rFonts w:ascii="Titillium" w:hAnsi="Titillium"/>
          <w:noProof/>
          <w:lang w:eastAsia="it-IT"/>
        </w:rPr>
        <mc:AlternateContent>
          <mc:Choice Requires="wps">
            <w:drawing>
              <wp:anchor distT="0" distB="0" distL="114300" distR="114300" simplePos="0" relativeHeight="251680768" behindDoc="0" locked="0" layoutInCell="1" allowOverlap="1" wp14:anchorId="6ADD6728" wp14:editId="75EFD8F3">
                <wp:simplePos x="0" y="0"/>
                <wp:positionH relativeFrom="column">
                  <wp:posOffset>269373</wp:posOffset>
                </wp:positionH>
                <wp:positionV relativeFrom="paragraph">
                  <wp:posOffset>81906</wp:posOffset>
                </wp:positionV>
                <wp:extent cx="71755" cy="107950"/>
                <wp:effectExtent l="0" t="0" r="0" b="0"/>
                <wp:wrapNone/>
                <wp:docPr id="3" name="Segno di moltiplicazione 3"/>
                <wp:cNvGraphicFramePr/>
                <a:graphic xmlns:a="http://schemas.openxmlformats.org/drawingml/2006/main">
                  <a:graphicData uri="http://schemas.microsoft.com/office/word/2010/wordprocessingShape">
                    <wps:wsp>
                      <wps:cNvSpPr/>
                      <wps:spPr>
                        <a:xfrm>
                          <a:off x="0" y="0"/>
                          <a:ext cx="71755" cy="107950"/>
                        </a:xfrm>
                        <a:prstGeom prst="mathMultiply">
                          <a:avLst/>
                        </a:prstGeom>
                        <a:ln w="1270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D3E94" id="Segno di moltiplicazione 3" o:spid="_x0000_s1026" style="position:absolute;margin-left:21.2pt;margin-top:6.45pt;width:5.65pt;height: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755,10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" path="m10206,30598l24261,21256,35878,38731,47494,21256r14055,9342l46010,53975,61549,77352,47494,86694,35878,69219,24261,86694,10206,77352,25745,53975,10206,30598xe" fillcolor="white [3201]" strokecolor="#4f81bd [3204]" strokeweight="1pt">
                <v:path arrowok="t" o:connecttype="custom" o:connectlocs="10206,30598;24261,21256;35878,38731;47494,21256;61549,30598;46010,53975;61549,77352;47494,86694;35878,69219;24261,86694;10206,77352;25745,53975;10206,30598" o:connectangles="0,0,0,0,0,0,0,0,0,0,0,0,0"/>
              </v:shape>
            </w:pict>
          </mc:Fallback>
        </mc:AlternateContent>
      </w:r>
      <w:r w:rsidR="00991B5F" w:rsidRPr="00991B5F">
        <w:rPr>
          <w:rFonts w:ascii="Titillium" w:hAnsi="Titillium"/>
          <w:noProof/>
          <w:sz w:val="18"/>
          <w:szCs w:val="18"/>
          <w:lang w:eastAsia="it-IT"/>
        </w:rPr>
        <mc:AlternateContent>
          <mc:Choice Requires="wps">
            <w:drawing>
              <wp:anchor distT="0" distB="0" distL="114300" distR="114300" simplePos="0" relativeHeight="251678720" behindDoc="0" locked="0" layoutInCell="1" allowOverlap="1" wp14:anchorId="2ACC8999" wp14:editId="4583C757">
                <wp:simplePos x="0" y="0"/>
                <wp:positionH relativeFrom="column">
                  <wp:posOffset>266321</wp:posOffset>
                </wp:positionH>
                <wp:positionV relativeFrom="paragraph">
                  <wp:posOffset>82905</wp:posOffset>
                </wp:positionV>
                <wp:extent cx="92075" cy="101600"/>
                <wp:effectExtent l="0" t="0" r="22225" b="12700"/>
                <wp:wrapNone/>
                <wp:docPr id="1575033770" name="Rettangolo 1575033770"/>
                <wp:cNvGraphicFramePr/>
                <a:graphic xmlns:a="http://schemas.openxmlformats.org/drawingml/2006/main">
                  <a:graphicData uri="http://schemas.microsoft.com/office/word/2010/wordprocessingShape">
                    <wps:wsp>
                      <wps:cNvSpPr/>
                      <wps:spPr>
                        <a:xfrm>
                          <a:off x="0" y="0"/>
                          <a:ext cx="92075" cy="1016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E6175" id="Rettangolo 1575033770" o:spid="_x0000_s1026" style="position:absolute;margin-left:20.95pt;margin-top:6.55pt;width:7.25pt;height: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" fillcolor="window" strokecolor="#385d8a" strokeweight="2pt"/>
            </w:pict>
          </mc:Fallback>
        </mc:AlternateContent>
      </w:r>
      <w:bookmarkStart w:id="0" w:name="_Hlk178258087"/>
      <w:r w:rsidR="006750D3">
        <w:rPr>
          <w:rFonts w:ascii="Titillium" w:hAnsi="Titillium"/>
          <w:sz w:val="20"/>
        </w:rPr>
        <w:t xml:space="preserve">di </w:t>
      </w:r>
      <w:r w:rsidR="00F72E24">
        <w:rPr>
          <w:rFonts w:ascii="Titillium" w:hAnsi="Titillium"/>
          <w:sz w:val="20"/>
        </w:rPr>
        <w:t xml:space="preserve">non trovarsi nella situazione di inconferibilità di cui </w:t>
      </w:r>
      <w:bookmarkEnd w:id="0"/>
      <w:r w:rsidR="00F72E24">
        <w:rPr>
          <w:rFonts w:ascii="Titillium" w:hAnsi="Titillium"/>
          <w:sz w:val="20"/>
        </w:rPr>
        <w:t>all’</w:t>
      </w:r>
      <w:r w:rsidR="00F72E24" w:rsidRPr="006A61AA">
        <w:rPr>
          <w:rFonts w:ascii="Titillium" w:hAnsi="Titillium"/>
          <w:sz w:val="20"/>
        </w:rPr>
        <w:t>art</w:t>
      </w:r>
      <w:r w:rsidR="00F72E24" w:rsidRPr="006A61AA">
        <w:rPr>
          <w:rFonts w:ascii="Titillium" w:hAnsi="Titillium"/>
          <w:noProof/>
          <w:sz w:val="20"/>
          <w:lang w:eastAsia="it-IT"/>
        </w:rPr>
        <w:t>. 3, comma 1</w:t>
      </w:r>
      <w:r w:rsidR="00F72E24">
        <w:rPr>
          <w:rFonts w:ascii="Titillium" w:hAnsi="Titillium"/>
          <w:noProof/>
          <w:sz w:val="20"/>
          <w:lang w:eastAsia="it-IT"/>
        </w:rPr>
        <w:t>,</w:t>
      </w:r>
      <w:r w:rsidR="00F72E24" w:rsidRPr="006A61AA">
        <w:rPr>
          <w:rFonts w:ascii="Titillium" w:hAnsi="Titillium"/>
          <w:noProof/>
          <w:sz w:val="20"/>
          <w:lang w:eastAsia="it-IT"/>
        </w:rPr>
        <w:t xml:space="preserve"> lett. </w:t>
      </w:r>
      <w:r w:rsidR="00F72E24">
        <w:rPr>
          <w:rFonts w:ascii="Titillium" w:hAnsi="Titillium"/>
          <w:noProof/>
          <w:sz w:val="20"/>
          <w:lang w:eastAsia="it-IT"/>
        </w:rPr>
        <w:t xml:space="preserve">a), </w:t>
      </w:r>
      <w:r w:rsidR="00F72E24" w:rsidRPr="006A61AA">
        <w:rPr>
          <w:rFonts w:ascii="Titillium" w:hAnsi="Titillium"/>
          <w:noProof/>
          <w:sz w:val="20"/>
          <w:lang w:eastAsia="it-IT"/>
        </w:rPr>
        <w:t>c) e d)</w:t>
      </w:r>
      <w:r w:rsidR="00F72E24" w:rsidRPr="00F72E24">
        <w:rPr>
          <w:rStyle w:val="Rimandonotaapidipagina"/>
          <w:rFonts w:ascii="Titillium" w:hAnsi="Titillium"/>
          <w:sz w:val="20"/>
        </w:rPr>
        <w:t xml:space="preserve"> </w:t>
      </w:r>
      <w:r w:rsidR="00F72E24" w:rsidRPr="006A61AA">
        <w:rPr>
          <w:rStyle w:val="Rimandonotaapidipagina"/>
          <w:rFonts w:ascii="Titillium" w:hAnsi="Titillium"/>
          <w:sz w:val="20"/>
        </w:rPr>
        <w:footnoteReference w:id="3"/>
      </w:r>
      <w:r w:rsidR="00F72E24">
        <w:rPr>
          <w:rFonts w:ascii="Titillium" w:hAnsi="Titillium"/>
          <w:noProof/>
          <w:sz w:val="20"/>
          <w:lang w:eastAsia="it-IT"/>
        </w:rPr>
        <w:t>,</w:t>
      </w:r>
      <w:r w:rsidR="00F72E24" w:rsidRPr="006A61AA">
        <w:rPr>
          <w:rFonts w:ascii="Titillium" w:hAnsi="Titillium"/>
          <w:noProof/>
          <w:sz w:val="20"/>
          <w:lang w:eastAsia="it-IT"/>
        </w:rPr>
        <w:t xml:space="preserve"> del </w:t>
      </w:r>
      <w:r w:rsidR="00F72E24" w:rsidRPr="006A61AA">
        <w:rPr>
          <w:rFonts w:ascii="Titillium" w:hAnsi="Titillium"/>
          <w:sz w:val="20"/>
        </w:rPr>
        <w:t>d.lgs. n. 39/2013</w:t>
      </w:r>
      <w:r w:rsidR="00F72E24">
        <w:rPr>
          <w:rFonts w:ascii="Titillium" w:hAnsi="Titillium"/>
          <w:sz w:val="20"/>
        </w:rPr>
        <w:t xml:space="preserve"> rispetto a</w:t>
      </w:r>
      <w:r w:rsidR="00E133E5">
        <w:rPr>
          <w:rFonts w:ascii="Titillium" w:hAnsi="Titillium"/>
          <w:sz w:val="20"/>
        </w:rPr>
        <w:t>gli incarichi amministrativi di vertice, di amministratore e dirigenziali</w:t>
      </w:r>
      <w:r w:rsidR="00D15D33">
        <w:rPr>
          <w:rFonts w:ascii="Titillium" w:hAnsi="Titillium"/>
          <w:sz w:val="20"/>
        </w:rPr>
        <w:t xml:space="preserve"> nell’ente di diritto privato in controllo pubblico</w:t>
      </w:r>
      <w:r w:rsidR="0015463B" w:rsidRPr="006A61AA">
        <w:rPr>
          <w:rFonts w:ascii="Titillium" w:hAnsi="Titillium"/>
          <w:sz w:val="20"/>
        </w:rPr>
        <w:t xml:space="preserve">; </w:t>
      </w:r>
    </w:p>
    <w:p w14:paraId="25A70EF5" w14:textId="30838333" w:rsidR="00B772BC" w:rsidRPr="00882A6A" w:rsidRDefault="00B772BC" w:rsidP="00882A6A">
      <w:pPr>
        <w:tabs>
          <w:tab w:val="left" w:pos="0"/>
          <w:tab w:val="left" w:pos="142"/>
        </w:tabs>
        <w:spacing w:line="360" w:lineRule="auto"/>
        <w:jc w:val="center"/>
        <w:rPr>
          <w:rFonts w:ascii="Titillium" w:hAnsi="Titillium" w:cs="Titillium Web"/>
          <w:b/>
          <w:sz w:val="20"/>
          <w:szCs w:val="20"/>
        </w:rPr>
      </w:pPr>
      <w:bookmarkStart w:id="1" w:name="_Hlk210815306"/>
      <w:r w:rsidRPr="007D46A3">
        <w:rPr>
          <w:rFonts w:ascii="Titillium" w:hAnsi="Titillium" w:cs="Titillium Web"/>
          <w:b/>
          <w:sz w:val="20"/>
          <w:szCs w:val="20"/>
        </w:rPr>
        <w:t>DICHIARA ALTRESI’</w:t>
      </w:r>
      <w:bookmarkEnd w:id="1"/>
    </w:p>
    <w:p w14:paraId="11F87D80" w14:textId="311CF031" w:rsidR="00A43279" w:rsidRPr="00737444" w:rsidRDefault="00B772BC" w:rsidP="00882A6A">
      <w:pPr>
        <w:pStyle w:val="Paragrafoelenco"/>
        <w:tabs>
          <w:tab w:val="left" w:pos="993"/>
        </w:tabs>
        <w:ind w:left="0"/>
        <w:contextualSpacing w:val="0"/>
        <w:jc w:val="both"/>
      </w:pPr>
      <w:r w:rsidRPr="006E1AC5">
        <w:rPr>
          <w:rFonts w:ascii="Titillium" w:hAnsi="Titillium"/>
          <w:sz w:val="20"/>
          <w:szCs w:val="20"/>
        </w:rPr>
        <w:t>di essere informato che, ai sensi di quanto disposto dall’art. 20, comma 3</w:t>
      </w:r>
      <w:r>
        <w:rPr>
          <w:rFonts w:ascii="Titillium" w:hAnsi="Titillium"/>
          <w:sz w:val="20"/>
          <w:szCs w:val="20"/>
        </w:rPr>
        <w:t>,</w:t>
      </w:r>
      <w:r w:rsidRPr="006E1AC5">
        <w:rPr>
          <w:rFonts w:ascii="Titillium" w:hAnsi="Titillium"/>
          <w:sz w:val="20"/>
          <w:szCs w:val="20"/>
        </w:rPr>
        <w:t xml:space="preserve"> del D.lgs. n. 39/2013, la presente dichiarazione verrà pubblicata sul sito istituzionale dell’ente, nell’apposita sezione “Amministrazione Trasparente</w:t>
      </w:r>
      <w:r>
        <w:rPr>
          <w:rFonts w:ascii="Titillium" w:hAnsi="Titillium"/>
          <w:sz w:val="20"/>
          <w:szCs w:val="20"/>
        </w:rPr>
        <w:t xml:space="preserve">” </w:t>
      </w:r>
      <w:r>
        <w:rPr>
          <w:rStyle w:val="Rimandonotaapidipagina"/>
          <w:rFonts w:ascii="Titillium" w:hAnsi="Titillium"/>
          <w:sz w:val="20"/>
        </w:rPr>
        <w:footnoteReference w:id="4"/>
      </w:r>
      <w:r>
        <w:t xml:space="preserve">. </w:t>
      </w:r>
    </w:p>
    <w:p w14:paraId="4FA99328" w14:textId="77777777" w:rsidR="0069596A" w:rsidRPr="0069596A" w:rsidRDefault="0069596A" w:rsidP="0069596A">
      <w:pPr>
        <w:jc w:val="both"/>
        <w:rPr>
          <w:rFonts w:ascii="Titillium" w:hAnsi="Titillium"/>
          <w:sz w:val="20"/>
          <w:szCs w:val="20"/>
        </w:rPr>
      </w:pPr>
      <w:bookmarkStart w:id="4" w:name="_Hlk200102237"/>
      <w:r w:rsidRPr="005C437C">
        <w:rPr>
          <w:rFonts w:ascii="Titillium" w:hAnsi="Titillium"/>
          <w:sz w:val="20"/>
          <w:szCs w:val="20"/>
        </w:rPr>
        <w:t>Il/La sottoscritto/a si impegna altresì a comunicare tempestivamente eventuali variazioni del contenuto della presente dichiarazione ed è a conoscenza che l’ente ricevente la presente dichiarazione è tenuto a effettuare i controlli e gli accertamenti previsti dalla disciplina vigente in ordine alla relativa veridicità, anche tramite acquisizione di informazioni sulle iscrizioni esistenti nel casellario giudiziale.</w:t>
      </w:r>
    </w:p>
    <w:bookmarkEnd w:id="4"/>
    <w:p w14:paraId="55CBBE80" w14:textId="422F8200" w:rsidR="00C0653D" w:rsidRDefault="0015463B" w:rsidP="00C0653D">
      <w:pPr>
        <w:spacing w:line="360" w:lineRule="auto"/>
        <w:jc w:val="both"/>
        <w:rPr>
          <w:rFonts w:ascii="Titillium" w:hAnsi="Titillium" w:cs="Titillium Web"/>
          <w:sz w:val="20"/>
          <w:szCs w:val="20"/>
        </w:rPr>
      </w:pPr>
      <w:r w:rsidRPr="006E1AC5">
        <w:rPr>
          <w:rFonts w:ascii="Titillium" w:hAnsi="Titillium" w:cs="Titillium Web"/>
          <w:sz w:val="20"/>
          <w:szCs w:val="20"/>
        </w:rPr>
        <w:t>Luogo, data</w:t>
      </w:r>
    </w:p>
    <w:p w14:paraId="23973A88" w14:textId="5D22EF3F" w:rsidR="005B4263" w:rsidRDefault="005B4263" w:rsidP="0094356A">
      <w:pPr>
        <w:spacing w:line="360" w:lineRule="auto"/>
        <w:jc w:val="both"/>
        <w:rPr>
          <w:rFonts w:ascii="Titillium" w:hAnsi="Titillium" w:cs="Titillium Web"/>
          <w:sz w:val="20"/>
          <w:szCs w:val="20"/>
        </w:rPr>
      </w:pPr>
      <w:r>
        <w:rPr>
          <w:rFonts w:ascii="Titillium" w:hAnsi="Titillium" w:cs="Titillium Web"/>
          <w:sz w:val="20"/>
          <w:szCs w:val="20"/>
        </w:rPr>
        <w:t>Monteriggioni, 16 marzo 2026</w:t>
      </w:r>
    </w:p>
    <w:p w14:paraId="7D1E3A3D" w14:textId="77777777" w:rsidR="004A09AD" w:rsidRDefault="004A09AD" w:rsidP="004A09AD">
      <w:pPr>
        <w:spacing w:line="360" w:lineRule="auto"/>
        <w:ind w:left="5664" w:right="1558" w:firstLine="708"/>
        <w:jc w:val="center"/>
        <w:rPr>
          <w:rFonts w:ascii="Titillium" w:hAnsi="Titillium" w:cs="Titillium Web"/>
          <w:sz w:val="20"/>
          <w:szCs w:val="20"/>
        </w:rPr>
      </w:pPr>
      <w:r>
        <w:rPr>
          <w:rFonts w:ascii="Titillium" w:hAnsi="Titillium" w:cs="Titillium Web"/>
          <w:sz w:val="20"/>
          <w:szCs w:val="20"/>
        </w:rPr>
        <w:lastRenderedPageBreak/>
        <w:t xml:space="preserve">Firma </w:t>
      </w:r>
    </w:p>
    <w:p w14:paraId="0BAD35EB" w14:textId="77777777" w:rsidR="004A09AD" w:rsidRDefault="004A09AD" w:rsidP="004A09AD">
      <w:pPr>
        <w:spacing w:line="360" w:lineRule="auto"/>
        <w:ind w:right="1558"/>
        <w:jc w:val="right"/>
        <w:rPr>
          <w:rFonts w:ascii="Titillium" w:hAnsi="Titillium" w:cs="Titillium Web"/>
          <w:sz w:val="20"/>
          <w:szCs w:val="20"/>
        </w:rPr>
      </w:pPr>
      <w:r>
        <w:rPr>
          <w:rFonts w:ascii="Titillium" w:hAnsi="Titillium" w:cs="Titillium Web"/>
          <w:sz w:val="20"/>
          <w:szCs w:val="20"/>
        </w:rPr>
        <w:t>Massimo Cimadoro</w:t>
      </w:r>
    </w:p>
    <w:p w14:paraId="20411DBA" w14:textId="77777777" w:rsidR="004A09AD" w:rsidRDefault="004A09AD" w:rsidP="0094356A">
      <w:pPr>
        <w:spacing w:line="360" w:lineRule="auto"/>
        <w:jc w:val="both"/>
        <w:rPr>
          <w:rFonts w:ascii="Titillium" w:hAnsi="Titillium" w:cs="Titillium Web"/>
          <w:sz w:val="20"/>
          <w:szCs w:val="20"/>
        </w:rPr>
      </w:pPr>
    </w:p>
    <w:p w14:paraId="43D152C2" w14:textId="3E4CCE68" w:rsidR="008F1B31" w:rsidRPr="0094356A" w:rsidRDefault="0094356A" w:rsidP="0094356A">
      <w:pPr>
        <w:spacing w:line="360" w:lineRule="auto"/>
        <w:jc w:val="both"/>
        <w:rPr>
          <w:rFonts w:ascii="Titillium" w:hAnsi="Titillium" w:cs="Titillium Web"/>
          <w:sz w:val="20"/>
          <w:szCs w:val="20"/>
        </w:rPr>
      </w:pPr>
      <w:r w:rsidRPr="0094356A">
        <w:rPr>
          <w:rFonts w:ascii="Titillium" w:hAnsi="Titillium" w:cs="Titillium Web"/>
          <w:sz w:val="20"/>
          <w:szCs w:val="20"/>
        </w:rPr>
        <w:t>La versione originale del documento è depositata presso l’Ufficio</w:t>
      </w:r>
    </w:p>
    <w:sectPr w:rsidR="008F1B31" w:rsidRPr="0094356A" w:rsidSect="00B4300C">
      <w:headerReference w:type="default" r:id="rId8"/>
      <w:footerReference w:type="default" r:id="rId9"/>
      <w:pgSz w:w="11906" w:h="16838"/>
      <w:pgMar w:top="851" w:right="1134" w:bottom="1134"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B65E6" w14:textId="77777777" w:rsidR="0048173E" w:rsidRDefault="0048173E" w:rsidP="001A58E6">
      <w:pPr>
        <w:spacing w:after="0" w:line="240" w:lineRule="auto"/>
      </w:pPr>
      <w:r>
        <w:separator/>
      </w:r>
    </w:p>
  </w:endnote>
  <w:endnote w:type="continuationSeparator" w:id="0">
    <w:p w14:paraId="3937F6E6" w14:textId="77777777" w:rsidR="0048173E" w:rsidRDefault="0048173E" w:rsidP="001A5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B8501" w14:textId="77777777" w:rsidR="008E2D69" w:rsidRDefault="008E2D69" w:rsidP="00C0653D">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7D921" w14:textId="77777777" w:rsidR="0048173E" w:rsidRDefault="0048173E" w:rsidP="001A58E6">
      <w:pPr>
        <w:spacing w:after="0" w:line="240" w:lineRule="auto"/>
      </w:pPr>
      <w:r>
        <w:separator/>
      </w:r>
    </w:p>
  </w:footnote>
  <w:footnote w:type="continuationSeparator" w:id="0">
    <w:p w14:paraId="545649F1" w14:textId="77777777" w:rsidR="0048173E" w:rsidRDefault="0048173E" w:rsidP="001A58E6">
      <w:pPr>
        <w:spacing w:after="0" w:line="240" w:lineRule="auto"/>
      </w:pPr>
      <w:r>
        <w:continuationSeparator/>
      </w:r>
    </w:p>
  </w:footnote>
  <w:footnote w:id="1">
    <w:p w14:paraId="779A968B" w14:textId="619ECEBB" w:rsidR="00D20D97" w:rsidRPr="00EA056E" w:rsidRDefault="00D20D97" w:rsidP="00D20D97">
      <w:pPr>
        <w:pStyle w:val="Testonotaapidipagina"/>
        <w:ind w:left="284"/>
        <w:jc w:val="both"/>
        <w:rPr>
          <w:i/>
          <w:sz w:val="16"/>
          <w:szCs w:val="16"/>
        </w:rPr>
      </w:pPr>
      <w:r>
        <w:rPr>
          <w:rStyle w:val="Rimandonotaapidipagina"/>
        </w:rPr>
        <w:footnoteRef/>
      </w:r>
      <w:r w:rsidRPr="00EA056E">
        <w:t xml:space="preserve"> </w:t>
      </w:r>
      <w:r w:rsidRPr="00EA056E">
        <w:rPr>
          <w:b/>
          <w:sz w:val="16"/>
        </w:rPr>
        <w:t xml:space="preserve">Art. </w:t>
      </w:r>
      <w:r w:rsidR="00EA056E" w:rsidRPr="00EA056E">
        <w:rPr>
          <w:b/>
          <w:sz w:val="16"/>
        </w:rPr>
        <w:t>1</w:t>
      </w:r>
      <w:r w:rsidR="0067285A">
        <w:rPr>
          <w:b/>
          <w:sz w:val="16"/>
        </w:rPr>
        <w:t>, comma 2,</w:t>
      </w:r>
      <w:r w:rsidR="00EA056E">
        <w:rPr>
          <w:sz w:val="16"/>
        </w:rPr>
        <w:t xml:space="preserve"> </w:t>
      </w:r>
      <w:r w:rsidR="00367A94" w:rsidRPr="00367A94">
        <w:rPr>
          <w:b/>
          <w:bCs/>
          <w:sz w:val="16"/>
        </w:rPr>
        <w:t>lett. c)</w:t>
      </w:r>
      <w:r w:rsidR="006750D3">
        <w:rPr>
          <w:b/>
          <w:bCs/>
          <w:sz w:val="16"/>
        </w:rPr>
        <w:t>:</w:t>
      </w:r>
      <w:r w:rsidR="00367A94">
        <w:rPr>
          <w:sz w:val="16"/>
        </w:rPr>
        <w:t xml:space="preserve"> </w:t>
      </w:r>
      <w:r w:rsidR="0067285A">
        <w:rPr>
          <w:sz w:val="16"/>
        </w:rPr>
        <w:t>“</w:t>
      </w:r>
      <w:r w:rsidR="00EA056E" w:rsidRPr="00EA056E">
        <w:rPr>
          <w:i/>
          <w:sz w:val="16"/>
        </w:rPr>
        <w:t>Ai fini del presente decreto si intende</w:t>
      </w:r>
      <w:r w:rsidR="00EA056E">
        <w:rPr>
          <w:sz w:val="16"/>
        </w:rPr>
        <w:t>:</w:t>
      </w:r>
      <w:r w:rsidR="0067285A">
        <w:rPr>
          <w:sz w:val="16"/>
        </w:rPr>
        <w:t xml:space="preserve"> (...) </w:t>
      </w:r>
      <w:r w:rsidR="00EA056E">
        <w:rPr>
          <w:sz w:val="16"/>
        </w:rPr>
        <w:t>c) “</w:t>
      </w:r>
      <w:r w:rsidR="00EA056E" w:rsidRPr="00EA056E">
        <w:rPr>
          <w:i/>
          <w:sz w:val="16"/>
        </w:rPr>
        <w:t>p</w:t>
      </w:r>
      <w:r w:rsidR="00EA056E">
        <w:rPr>
          <w:i/>
          <w:sz w:val="16"/>
        </w:rPr>
        <w:t xml:space="preserve">er </w:t>
      </w:r>
      <w:r w:rsidR="00EA056E" w:rsidRPr="00EA056E">
        <w:rPr>
          <w:i/>
          <w:sz w:val="14"/>
          <w:szCs w:val="14"/>
        </w:rPr>
        <w:t>&lt;&lt;</w:t>
      </w:r>
      <w:r w:rsidR="00EA056E" w:rsidRPr="00EA056E">
        <w:rPr>
          <w:b/>
          <w:i/>
          <w:sz w:val="16"/>
        </w:rPr>
        <w:t>enti di diritto privato in controllo pubblico</w:t>
      </w:r>
      <w:r w:rsidR="00EA056E" w:rsidRPr="00EA056E">
        <w:rPr>
          <w:sz w:val="14"/>
          <w:szCs w:val="14"/>
        </w:rPr>
        <w:t>&gt;&gt;</w:t>
      </w:r>
      <w:r w:rsidR="00EA056E">
        <w:t xml:space="preserve">, </w:t>
      </w:r>
      <w:r w:rsidR="00EA056E" w:rsidRPr="00EA056E">
        <w:rPr>
          <w:i/>
          <w:sz w:val="16"/>
          <w:szCs w:val="16"/>
        </w:rPr>
        <w:t>le società</w:t>
      </w:r>
      <w:r w:rsidR="00EA056E">
        <w:rPr>
          <w:i/>
          <w:sz w:val="16"/>
          <w:szCs w:val="16"/>
        </w:rPr>
        <w:t xml:space="preserve"> e gli altri enti di diritto privato che esercitano funzioni amministrative, attività di produzione di beni e servizi a favore delle amministrazioni pubbliche o di gestione di servizi pubblici, sottoposti a controllo ai sensi dell’art. 2359 c.c. da parte di amministrazioni pubbliche, oppure gli enti nei quali siano riconosciuti alle pubbliche amministrazioni, anche in assenza di una partecipazione azionaria, poteri di nomina dei vertici o dei componenti degli organi</w:t>
      </w:r>
      <w:r w:rsidR="0067285A">
        <w:rPr>
          <w:i/>
          <w:sz w:val="16"/>
          <w:szCs w:val="16"/>
        </w:rPr>
        <w:t>.</w:t>
      </w:r>
      <w:r w:rsidR="00EA056E">
        <w:rPr>
          <w:i/>
          <w:sz w:val="16"/>
          <w:szCs w:val="16"/>
        </w:rPr>
        <w:t>”</w:t>
      </w:r>
      <w:r w:rsidR="0067285A">
        <w:rPr>
          <w:i/>
          <w:sz w:val="16"/>
          <w:szCs w:val="16"/>
        </w:rPr>
        <w:t>;</w:t>
      </w:r>
    </w:p>
    <w:p w14:paraId="008E4D75" w14:textId="77777777" w:rsidR="00D20D97" w:rsidRPr="00EA056E" w:rsidRDefault="00D20D97" w:rsidP="00D20D97">
      <w:pPr>
        <w:pStyle w:val="Testonotaapidipagina"/>
        <w:ind w:left="284"/>
        <w:jc w:val="both"/>
        <w:rPr>
          <w:i/>
          <w:sz w:val="16"/>
          <w:szCs w:val="16"/>
        </w:rPr>
      </w:pPr>
    </w:p>
    <w:p w14:paraId="1E823856" w14:textId="2216A541" w:rsidR="00D20D97" w:rsidRPr="007B50E1" w:rsidRDefault="00D20D97" w:rsidP="0067285A">
      <w:pPr>
        <w:pStyle w:val="Testonotaapidipagina"/>
        <w:ind w:left="284"/>
        <w:jc w:val="both"/>
        <w:rPr>
          <w:i/>
          <w:sz w:val="16"/>
        </w:rPr>
      </w:pPr>
      <w:r w:rsidRPr="00EA056E">
        <w:rPr>
          <w:rStyle w:val="Rimandonotaapidipagina"/>
        </w:rPr>
        <w:t>2</w:t>
      </w:r>
      <w:r w:rsidRPr="00EA056E">
        <w:t xml:space="preserve"> </w:t>
      </w:r>
      <w:r w:rsidRPr="00EA056E">
        <w:rPr>
          <w:b/>
          <w:sz w:val="16"/>
        </w:rPr>
        <w:t>Art. 20</w:t>
      </w:r>
      <w:r w:rsidR="0067285A">
        <w:rPr>
          <w:b/>
          <w:sz w:val="16"/>
        </w:rPr>
        <w:t>, commi 1 e 4</w:t>
      </w:r>
      <w:r w:rsidR="006750D3">
        <w:rPr>
          <w:b/>
          <w:sz w:val="16"/>
        </w:rPr>
        <w:t>:</w:t>
      </w:r>
      <w:r w:rsidR="0067285A">
        <w:rPr>
          <w:b/>
          <w:sz w:val="16"/>
        </w:rPr>
        <w:t xml:space="preserve"> </w:t>
      </w:r>
      <w:r>
        <w:rPr>
          <w:sz w:val="16"/>
        </w:rPr>
        <w:t>“</w:t>
      </w:r>
      <w:r w:rsidRPr="00B87398">
        <w:rPr>
          <w:i/>
          <w:sz w:val="16"/>
        </w:rPr>
        <w:t>A</w:t>
      </w:r>
      <w:r>
        <w:rPr>
          <w:i/>
          <w:sz w:val="16"/>
        </w:rPr>
        <w:t>ll’atto del conferimento dell’incarico l’interessato presenta una dichiarazione sulla insussistenza di una delle cause di inconferibilità di cui al presente decreto.</w:t>
      </w:r>
      <w:r w:rsidR="0067285A">
        <w:rPr>
          <w:i/>
          <w:sz w:val="16"/>
        </w:rPr>
        <w:t xml:space="preserve"> (...) </w:t>
      </w:r>
      <w:r>
        <w:rPr>
          <w:i/>
          <w:sz w:val="16"/>
        </w:rPr>
        <w:t>La dichiarazione di cui al comma 1 è condizione per l’acquisizione dell’efficacia dell’incarico.”</w:t>
      </w:r>
      <w:r w:rsidR="006D217C">
        <w:rPr>
          <w:i/>
          <w:sz w:val="16"/>
        </w:rPr>
        <w:t>;</w:t>
      </w:r>
    </w:p>
  </w:footnote>
  <w:footnote w:id="2">
    <w:p w14:paraId="4CA86C29" w14:textId="77777777" w:rsidR="006750D3" w:rsidRPr="007B50E1" w:rsidRDefault="006750D3" w:rsidP="006750D3">
      <w:pPr>
        <w:pStyle w:val="Testonotaapidipagina"/>
        <w:ind w:left="644"/>
        <w:jc w:val="both"/>
        <w:rPr>
          <w:i/>
          <w:sz w:val="16"/>
        </w:rPr>
      </w:pPr>
    </w:p>
  </w:footnote>
  <w:footnote w:id="3">
    <w:p w14:paraId="38A2D62D" w14:textId="1AB6AD19" w:rsidR="00F72E24" w:rsidRDefault="00F72E24" w:rsidP="00F72E24">
      <w:pPr>
        <w:pStyle w:val="Testonotaapidipagina"/>
        <w:ind w:left="284"/>
        <w:jc w:val="both"/>
        <w:rPr>
          <w:i/>
          <w:sz w:val="16"/>
        </w:rPr>
      </w:pPr>
      <w:r>
        <w:rPr>
          <w:rStyle w:val="Rimandonotaapidipagina"/>
        </w:rPr>
        <w:footnoteRef/>
      </w:r>
      <w:r>
        <w:t xml:space="preserve"> </w:t>
      </w:r>
      <w:r w:rsidRPr="000C4C80">
        <w:rPr>
          <w:b/>
          <w:sz w:val="16"/>
        </w:rPr>
        <w:t>Art. 3</w:t>
      </w:r>
      <w:r>
        <w:rPr>
          <w:b/>
          <w:sz w:val="16"/>
        </w:rPr>
        <w:t>, comma 2, lett. a), c) e d)</w:t>
      </w:r>
      <w:r w:rsidR="006750D3">
        <w:rPr>
          <w:b/>
          <w:sz w:val="16"/>
        </w:rPr>
        <w:t>:</w:t>
      </w:r>
      <w:r>
        <w:rPr>
          <w:b/>
          <w:sz w:val="16"/>
        </w:rPr>
        <w:t xml:space="preserve"> </w:t>
      </w:r>
      <w:r>
        <w:rPr>
          <w:sz w:val="16"/>
        </w:rPr>
        <w:t>“</w:t>
      </w:r>
      <w:r w:rsidRPr="00B87398">
        <w:rPr>
          <w:i/>
          <w:sz w:val="16"/>
        </w:rPr>
        <w:t xml:space="preserve">A coloro che siano stati condannati, anche con sentenza non passata in giudicato, per uno dei reati previsti dal capo I del titolo II del libro secondo del codice penale, non possono essere attribuiti: </w:t>
      </w:r>
      <w:r>
        <w:rPr>
          <w:i/>
          <w:sz w:val="16"/>
        </w:rPr>
        <w:t>a)</w:t>
      </w:r>
      <w:r>
        <w:rPr>
          <w:rFonts w:ascii="Calibri" w:hAnsi="Calibri" w:cs="Calibri"/>
          <w:color w:val="000000"/>
          <w:sz w:val="22"/>
          <w:szCs w:val="22"/>
          <w:shd w:val="clear" w:color="auto" w:fill="F5FDFE"/>
        </w:rPr>
        <w:t xml:space="preserve"> </w:t>
      </w:r>
      <w:r w:rsidRPr="00CF42DA">
        <w:rPr>
          <w:i/>
          <w:sz w:val="16"/>
        </w:rPr>
        <w:t xml:space="preserve">gli incarichi amministrativi di vertice nelle amministrazioni statali, regionali e locali nonché negli </w:t>
      </w:r>
      <w:r w:rsidRPr="00991B5F">
        <w:rPr>
          <w:b/>
          <w:bCs/>
          <w:i/>
          <w:sz w:val="16"/>
        </w:rPr>
        <w:t>enti di diritto privato in controllo pubblico</w:t>
      </w:r>
      <w:r w:rsidRPr="00CF42DA">
        <w:rPr>
          <w:i/>
          <w:sz w:val="16"/>
        </w:rPr>
        <w:t>;</w:t>
      </w:r>
      <w:r>
        <w:rPr>
          <w:i/>
          <w:sz w:val="16"/>
        </w:rPr>
        <w:t xml:space="preserve"> (...) </w:t>
      </w:r>
      <w:r w:rsidRPr="00B87398">
        <w:rPr>
          <w:i/>
          <w:sz w:val="16"/>
        </w:rPr>
        <w:t xml:space="preserve">c) gli incarichi dirigenziali, interni e esterni, comunque denominati, nelle pubbliche amministrazioni, negli enti pubblici e negli </w:t>
      </w:r>
      <w:r w:rsidRPr="00B87398">
        <w:rPr>
          <w:b/>
          <w:i/>
          <w:sz w:val="16"/>
        </w:rPr>
        <w:t>enti di diritto privato in controllo pubblico</w:t>
      </w:r>
      <w:r w:rsidRPr="00B87398">
        <w:rPr>
          <w:i/>
          <w:sz w:val="16"/>
        </w:rPr>
        <w:t xml:space="preserve"> </w:t>
      </w:r>
      <w:r w:rsidRPr="00BC30D8">
        <w:rPr>
          <w:b/>
          <w:i/>
          <w:sz w:val="16"/>
        </w:rPr>
        <w:t>di livello nazionale, regionale e locale</w:t>
      </w:r>
      <w:r w:rsidRPr="007B50E1">
        <w:rPr>
          <w:b/>
          <w:i/>
          <w:sz w:val="16"/>
        </w:rPr>
        <w:t>;</w:t>
      </w:r>
      <w:r w:rsidRPr="007B50E1">
        <w:rPr>
          <w:i/>
          <w:sz w:val="16"/>
        </w:rPr>
        <w:t xml:space="preserve"> d) gli incarichi di amministratore di </w:t>
      </w:r>
      <w:r w:rsidRPr="007B50E1">
        <w:rPr>
          <w:b/>
          <w:i/>
          <w:sz w:val="16"/>
        </w:rPr>
        <w:t>ente di diritto privato in controllo pubblico di livello nazionale, regionale e locale</w:t>
      </w:r>
      <w:r w:rsidRPr="007B50E1">
        <w:rPr>
          <w:i/>
          <w:sz w:val="16"/>
        </w:rPr>
        <w:t>”</w:t>
      </w:r>
      <w:r w:rsidR="002659EE">
        <w:rPr>
          <w:i/>
          <w:sz w:val="16"/>
        </w:rPr>
        <w:t>.</w:t>
      </w:r>
    </w:p>
    <w:p w14:paraId="5236C10B" w14:textId="77777777" w:rsidR="002659EE" w:rsidRDefault="002659EE" w:rsidP="002659EE">
      <w:pPr>
        <w:pStyle w:val="Testonotaapidipagina"/>
        <w:ind w:left="284"/>
        <w:jc w:val="both"/>
        <w:rPr>
          <w:iCs/>
          <w:sz w:val="16"/>
        </w:rPr>
      </w:pPr>
      <w:r>
        <w:rPr>
          <w:b/>
          <w:bCs/>
          <w:iCs/>
          <w:sz w:val="16"/>
        </w:rPr>
        <w:t>In merito, si evidenzia che a seguito dell’entrata in vigore del d.lgs. 150/2022 (Riforma Cartabia), l’articolo 3, co.7, del d.lgs. n. 39/2013, deve essere letto nel senso che la sentenza di patteggiamento per uno dei reati previsti dal menzionato articolo 3 non comporta l’inconferibilità degli incarichi, a meno che non siano state irrogate pene accessorie;</w:t>
      </w:r>
    </w:p>
    <w:p w14:paraId="523C009F" w14:textId="77777777" w:rsidR="002659EE" w:rsidRPr="007B50E1" w:rsidRDefault="002659EE" w:rsidP="00F72E24">
      <w:pPr>
        <w:pStyle w:val="Testonotaapidipagina"/>
        <w:ind w:left="284"/>
        <w:jc w:val="both"/>
        <w:rPr>
          <w:i/>
          <w:sz w:val="16"/>
        </w:rPr>
      </w:pPr>
    </w:p>
    <w:p w14:paraId="59FF53A3" w14:textId="77777777" w:rsidR="00F72E24" w:rsidRPr="007B50E1" w:rsidRDefault="00F72E24" w:rsidP="00F72E24">
      <w:pPr>
        <w:pStyle w:val="Testonotaapidipagina"/>
        <w:ind w:left="644"/>
        <w:jc w:val="both"/>
        <w:rPr>
          <w:i/>
          <w:sz w:val="16"/>
        </w:rPr>
      </w:pPr>
    </w:p>
  </w:footnote>
  <w:footnote w:id="4">
    <w:p w14:paraId="6D793D8A" w14:textId="7B660BB3" w:rsidR="00B772BC" w:rsidRDefault="00B772BC" w:rsidP="00882A6A">
      <w:pPr>
        <w:pStyle w:val="Testonotaapidipagina"/>
        <w:ind w:left="284"/>
      </w:pPr>
      <w:r>
        <w:rPr>
          <w:rStyle w:val="Rimandonotaapidipagina"/>
        </w:rPr>
        <w:footnoteRef/>
      </w:r>
      <w:r>
        <w:t xml:space="preserve"> </w:t>
      </w:r>
      <w:bookmarkStart w:id="2" w:name="_Hlk210813766"/>
      <w:bookmarkStart w:id="3" w:name="_Hlk210815328"/>
      <w:r w:rsidR="00C04E26" w:rsidRPr="00882A6A">
        <w:rPr>
          <w:bCs/>
          <w:sz w:val="16"/>
        </w:rPr>
        <w:t>A</w:t>
      </w:r>
      <w:r w:rsidRPr="00882A6A">
        <w:rPr>
          <w:bCs/>
          <w:sz w:val="16"/>
        </w:rPr>
        <w:t xml:space="preserve">i sensi </w:t>
      </w:r>
      <w:r w:rsidRPr="00882A6A">
        <w:rPr>
          <w:b/>
          <w:sz w:val="16"/>
        </w:rPr>
        <w:t>dell’art. 14, co, 2, del d.lgs. n. 33/2013</w:t>
      </w:r>
      <w:r w:rsidRPr="00882A6A">
        <w:rPr>
          <w:sz w:val="16"/>
        </w:rPr>
        <w:t>, le pubbliche amministrazioni pubblicano i dati per i tre anni successivi dalla cessazione         del mandato o dell'incarico dei soggetti</w:t>
      </w:r>
      <w:bookmarkEnd w:id="2"/>
      <w:r w:rsidRPr="00C04E26">
        <w:rPr>
          <w:sz w:val="16"/>
        </w:rPr>
        <w:t>.</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65"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9530"/>
      <w:gridCol w:w="1197"/>
    </w:tblGrid>
    <w:tr w:rsidR="008E2D69" w14:paraId="0A65E50C" w14:textId="77777777" w:rsidTr="00D20D97">
      <w:trPr>
        <w:trHeight w:val="288"/>
      </w:trPr>
      <w:tc>
        <w:tcPr>
          <w:tcW w:w="9530" w:type="dxa"/>
        </w:tcPr>
        <w:p w14:paraId="39025B51" w14:textId="61D2C0A0" w:rsidR="00792F4D" w:rsidRPr="00733F51" w:rsidRDefault="00792F4D" w:rsidP="00C168AD">
          <w:pPr>
            <w:pStyle w:val="Intestazione"/>
            <w:jc w:val="both"/>
            <w:rPr>
              <w:rFonts w:asciiTheme="majorHAnsi" w:eastAsiaTheme="majorEastAsia" w:hAnsiTheme="majorHAnsi" w:cstheme="majorBidi"/>
              <w:sz w:val="32"/>
              <w:szCs w:val="32"/>
            </w:rPr>
          </w:pPr>
          <w:r>
            <w:rPr>
              <w:rFonts w:asciiTheme="majorHAnsi" w:eastAsiaTheme="majorEastAsia" w:hAnsiTheme="majorHAnsi" w:cstheme="majorBidi"/>
              <w:sz w:val="32"/>
              <w:szCs w:val="32"/>
            </w:rPr>
            <w:t>DICHIARAZIONE SULLA INSUSSISTENZA DI CAUSE DI INCONFERIBILITA’ ex art. 20 d.lgs. n. 39/2013</w:t>
          </w:r>
        </w:p>
      </w:tc>
      <w:tc>
        <w:tcPr>
          <w:tcW w:w="1197" w:type="dxa"/>
        </w:tcPr>
        <w:p w14:paraId="2A75F5DD" w14:textId="77777777" w:rsidR="008E2D69" w:rsidRDefault="008E2D69" w:rsidP="003C3090">
          <w:pPr>
            <w:pStyle w:val="Intestazione"/>
            <w:rPr>
              <w:rFonts w:asciiTheme="majorHAnsi" w:eastAsiaTheme="majorEastAsia" w:hAnsiTheme="majorHAnsi" w:cstheme="majorBidi"/>
              <w:b/>
              <w:bCs/>
              <w:color w:val="4F81BD" w:themeColor="accent1"/>
              <w:sz w:val="36"/>
              <w:szCs w:val="36"/>
            </w:rPr>
          </w:pPr>
        </w:p>
      </w:tc>
    </w:tr>
  </w:tbl>
  <w:p w14:paraId="0210B4F6" w14:textId="77777777" w:rsidR="008E2D69" w:rsidRDefault="008E2D69" w:rsidP="00D20D9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1733"/>
    <w:multiLevelType w:val="hybridMultilevel"/>
    <w:tmpl w:val="2D3010CE"/>
    <w:lvl w:ilvl="0" w:tplc="069A9A12">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033AD2"/>
    <w:multiLevelType w:val="hybridMultilevel"/>
    <w:tmpl w:val="6708FC3A"/>
    <w:lvl w:ilvl="0" w:tplc="067E8978">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0A0C1E2C"/>
    <w:multiLevelType w:val="hybridMultilevel"/>
    <w:tmpl w:val="80EA0660"/>
    <w:lvl w:ilvl="0" w:tplc="B2AAB8A0">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ACB4F21"/>
    <w:multiLevelType w:val="hybridMultilevel"/>
    <w:tmpl w:val="BC4EB42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CCF1C40"/>
    <w:multiLevelType w:val="hybridMultilevel"/>
    <w:tmpl w:val="2D5C9274"/>
    <w:lvl w:ilvl="0" w:tplc="81949994">
      <w:start w:val="1"/>
      <w:numFmt w:val="decimal"/>
      <w:lvlText w:val="%1."/>
      <w:lvlJc w:val="left"/>
      <w:pPr>
        <w:ind w:left="720" w:hanging="360"/>
      </w:pPr>
      <w:rPr>
        <w:rFonts w:hint="default"/>
        <w:sz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2771B1C"/>
    <w:multiLevelType w:val="hybridMultilevel"/>
    <w:tmpl w:val="C186AA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130726AE"/>
    <w:multiLevelType w:val="hybridMultilevel"/>
    <w:tmpl w:val="283856C4"/>
    <w:lvl w:ilvl="0" w:tplc="95C8C5D8">
      <w:start w:val="14"/>
      <w:numFmt w:val="bullet"/>
      <w:lvlText w:val="-"/>
      <w:lvlJc w:val="left"/>
      <w:pPr>
        <w:ind w:left="720" w:hanging="360"/>
      </w:pPr>
      <w:rPr>
        <w:rFonts w:ascii="Titillium" w:eastAsiaTheme="minorHAnsi" w:hAnsi="Titillium" w:cs="Titillium Web" w:hint="default"/>
      </w:rPr>
    </w:lvl>
    <w:lvl w:ilvl="1" w:tplc="2814EAA2">
      <w:numFmt w:val="bullet"/>
      <w:lvlText w:val=""/>
      <w:lvlJc w:val="left"/>
      <w:pPr>
        <w:ind w:left="1440" w:hanging="360"/>
      </w:pPr>
      <w:rPr>
        <w:rFonts w:ascii="Symbol" w:eastAsiaTheme="minorHAnsi" w:hAnsi="Symbol" w:cs="Titillium Web"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0D0412"/>
    <w:multiLevelType w:val="hybridMultilevel"/>
    <w:tmpl w:val="DA021768"/>
    <w:lvl w:ilvl="0" w:tplc="99EEEAF8">
      <w:numFmt w:val="bullet"/>
      <w:lvlText w:val="-"/>
      <w:lvlJc w:val="left"/>
      <w:pPr>
        <w:ind w:left="1069" w:hanging="360"/>
      </w:pPr>
      <w:rPr>
        <w:rFonts w:ascii="Calibri" w:eastAsiaTheme="minorHAnsi" w:hAnsi="Calibri" w:cs="Calibri"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8" w15:restartNumberingAfterBreak="0">
    <w:nsid w:val="27872BB3"/>
    <w:multiLevelType w:val="hybridMultilevel"/>
    <w:tmpl w:val="C3A64A24"/>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957352D"/>
    <w:multiLevelType w:val="hybridMultilevel"/>
    <w:tmpl w:val="873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E326086"/>
    <w:multiLevelType w:val="hybridMultilevel"/>
    <w:tmpl w:val="954635C2"/>
    <w:lvl w:ilvl="0" w:tplc="0410000F">
      <w:start w:val="1"/>
      <w:numFmt w:val="decimal"/>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C320EE5"/>
    <w:multiLevelType w:val="hybridMultilevel"/>
    <w:tmpl w:val="3A66E766"/>
    <w:lvl w:ilvl="0" w:tplc="8B98EC7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E463D78"/>
    <w:multiLevelType w:val="hybridMultilevel"/>
    <w:tmpl w:val="206C263E"/>
    <w:lvl w:ilvl="0" w:tplc="19843C8C">
      <w:start w:val="14"/>
      <w:numFmt w:val="bullet"/>
      <w:lvlText w:val="-"/>
      <w:lvlJc w:val="left"/>
      <w:pPr>
        <w:ind w:left="1080" w:hanging="360"/>
      </w:pPr>
      <w:rPr>
        <w:rFonts w:ascii="Titillium" w:eastAsiaTheme="minorHAnsi" w:hAnsi="Titillium" w:cs="Titillium Web"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3E730388"/>
    <w:multiLevelType w:val="hybridMultilevel"/>
    <w:tmpl w:val="605C386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05368EF"/>
    <w:multiLevelType w:val="hybridMultilevel"/>
    <w:tmpl w:val="DB84CFD4"/>
    <w:lvl w:ilvl="0" w:tplc="4C7C962E">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41871B23"/>
    <w:multiLevelType w:val="hybridMultilevel"/>
    <w:tmpl w:val="739C87F8"/>
    <w:lvl w:ilvl="0" w:tplc="F9806AD2">
      <w:numFmt w:val="bullet"/>
      <w:lvlText w:val="-"/>
      <w:lvlJc w:val="left"/>
      <w:pPr>
        <w:ind w:left="720" w:hanging="360"/>
      </w:pPr>
      <w:rPr>
        <w:rFonts w:ascii="Titillium" w:eastAsiaTheme="minorHAnsi" w:hAnsi="Titillium" w:cs="Titillium Web"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71E05D8"/>
    <w:multiLevelType w:val="hybridMultilevel"/>
    <w:tmpl w:val="EA962EF6"/>
    <w:lvl w:ilvl="0" w:tplc="04100019">
      <w:start w:val="1"/>
      <w:numFmt w:val="lowerLetter"/>
      <w:lvlText w:val="%1."/>
      <w:lvlJc w:val="left"/>
      <w:pPr>
        <w:ind w:left="1080" w:hanging="360"/>
      </w:pPr>
      <w:rPr>
        <w:rFont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7" w15:restartNumberingAfterBreak="0">
    <w:nsid w:val="557A7361"/>
    <w:multiLevelType w:val="hybridMultilevel"/>
    <w:tmpl w:val="C80E40C0"/>
    <w:lvl w:ilvl="0" w:tplc="7430F410">
      <w:start w:val="2"/>
      <w:numFmt w:val="bullet"/>
      <w:lvlText w:val="-"/>
      <w:lvlJc w:val="left"/>
      <w:pPr>
        <w:ind w:left="720" w:hanging="360"/>
      </w:pPr>
      <w:rPr>
        <w:rFonts w:ascii="Titillium" w:eastAsiaTheme="minorHAnsi" w:hAnsi="Titillium" w:cs="Titillium Web"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66B0F8B"/>
    <w:multiLevelType w:val="hybridMultilevel"/>
    <w:tmpl w:val="5C8E3D92"/>
    <w:lvl w:ilvl="0" w:tplc="04100003">
      <w:start w:val="1"/>
      <w:numFmt w:val="bullet"/>
      <w:lvlText w:val="o"/>
      <w:lvlJc w:val="left"/>
      <w:pPr>
        <w:ind w:left="1434" w:hanging="360"/>
      </w:pPr>
      <w:rPr>
        <w:rFonts w:ascii="Courier New" w:hAnsi="Courier New" w:cs="Courier New"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19" w15:restartNumberingAfterBreak="0">
    <w:nsid w:val="57E5290D"/>
    <w:multiLevelType w:val="hybridMultilevel"/>
    <w:tmpl w:val="0CAEB7F4"/>
    <w:lvl w:ilvl="0" w:tplc="8B98EC7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9F83528"/>
    <w:multiLevelType w:val="hybridMultilevel"/>
    <w:tmpl w:val="F838FC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711E6C"/>
    <w:multiLevelType w:val="hybridMultilevel"/>
    <w:tmpl w:val="3010296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3E80E38"/>
    <w:multiLevelType w:val="hybridMultilevel"/>
    <w:tmpl w:val="1CA06518"/>
    <w:lvl w:ilvl="0" w:tplc="73422A54">
      <w:start w:val="1"/>
      <w:numFmt w:val="low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6C43A08"/>
    <w:multiLevelType w:val="hybridMultilevel"/>
    <w:tmpl w:val="544C6A5C"/>
    <w:lvl w:ilvl="0" w:tplc="A4085D0E">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4" w15:restartNumberingAfterBreak="0">
    <w:nsid w:val="688B6C34"/>
    <w:multiLevelType w:val="hybridMultilevel"/>
    <w:tmpl w:val="815E5602"/>
    <w:lvl w:ilvl="0" w:tplc="6EE81F3C">
      <w:start w:val="2"/>
      <w:numFmt w:val="bullet"/>
      <w:lvlText w:val="-"/>
      <w:lvlJc w:val="left"/>
      <w:pPr>
        <w:ind w:left="1069" w:hanging="360"/>
      </w:pPr>
      <w:rPr>
        <w:rFonts w:ascii="Titillium" w:eastAsiaTheme="minorHAnsi" w:hAnsi="Titillium" w:cstheme="minorBidi"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5" w15:restartNumberingAfterBreak="0">
    <w:nsid w:val="6C5E10F9"/>
    <w:multiLevelType w:val="hybridMultilevel"/>
    <w:tmpl w:val="C024BF22"/>
    <w:lvl w:ilvl="0" w:tplc="04100017">
      <w:start w:val="1"/>
      <w:numFmt w:val="lowerLetter"/>
      <w:lvlText w:val="%1)"/>
      <w:lvlJc w:val="left"/>
      <w:pPr>
        <w:ind w:left="1520" w:hanging="360"/>
      </w:pPr>
    </w:lvl>
    <w:lvl w:ilvl="1" w:tplc="04100019">
      <w:start w:val="1"/>
      <w:numFmt w:val="lowerLetter"/>
      <w:lvlText w:val="%2."/>
      <w:lvlJc w:val="left"/>
      <w:pPr>
        <w:ind w:left="2240" w:hanging="360"/>
      </w:pPr>
    </w:lvl>
    <w:lvl w:ilvl="2" w:tplc="0410001B" w:tentative="1">
      <w:start w:val="1"/>
      <w:numFmt w:val="lowerRoman"/>
      <w:lvlText w:val="%3."/>
      <w:lvlJc w:val="right"/>
      <w:pPr>
        <w:ind w:left="2960" w:hanging="180"/>
      </w:pPr>
    </w:lvl>
    <w:lvl w:ilvl="3" w:tplc="0410000F" w:tentative="1">
      <w:start w:val="1"/>
      <w:numFmt w:val="decimal"/>
      <w:lvlText w:val="%4."/>
      <w:lvlJc w:val="left"/>
      <w:pPr>
        <w:ind w:left="3680" w:hanging="360"/>
      </w:pPr>
    </w:lvl>
    <w:lvl w:ilvl="4" w:tplc="04100019" w:tentative="1">
      <w:start w:val="1"/>
      <w:numFmt w:val="lowerLetter"/>
      <w:lvlText w:val="%5."/>
      <w:lvlJc w:val="left"/>
      <w:pPr>
        <w:ind w:left="4400" w:hanging="360"/>
      </w:pPr>
    </w:lvl>
    <w:lvl w:ilvl="5" w:tplc="0410001B" w:tentative="1">
      <w:start w:val="1"/>
      <w:numFmt w:val="lowerRoman"/>
      <w:lvlText w:val="%6."/>
      <w:lvlJc w:val="right"/>
      <w:pPr>
        <w:ind w:left="5120" w:hanging="180"/>
      </w:pPr>
    </w:lvl>
    <w:lvl w:ilvl="6" w:tplc="0410000F" w:tentative="1">
      <w:start w:val="1"/>
      <w:numFmt w:val="decimal"/>
      <w:lvlText w:val="%7."/>
      <w:lvlJc w:val="left"/>
      <w:pPr>
        <w:ind w:left="5840" w:hanging="360"/>
      </w:pPr>
    </w:lvl>
    <w:lvl w:ilvl="7" w:tplc="04100019" w:tentative="1">
      <w:start w:val="1"/>
      <w:numFmt w:val="lowerLetter"/>
      <w:lvlText w:val="%8."/>
      <w:lvlJc w:val="left"/>
      <w:pPr>
        <w:ind w:left="6560" w:hanging="360"/>
      </w:pPr>
    </w:lvl>
    <w:lvl w:ilvl="8" w:tplc="0410001B" w:tentative="1">
      <w:start w:val="1"/>
      <w:numFmt w:val="lowerRoman"/>
      <w:lvlText w:val="%9."/>
      <w:lvlJc w:val="right"/>
      <w:pPr>
        <w:ind w:left="7280" w:hanging="180"/>
      </w:pPr>
    </w:lvl>
  </w:abstractNum>
  <w:abstractNum w:abstractNumId="26" w15:restartNumberingAfterBreak="0">
    <w:nsid w:val="6EE80CBB"/>
    <w:multiLevelType w:val="hybridMultilevel"/>
    <w:tmpl w:val="5CB4FB68"/>
    <w:lvl w:ilvl="0" w:tplc="0E88E89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059476D"/>
    <w:multiLevelType w:val="hybridMultilevel"/>
    <w:tmpl w:val="4F20E87C"/>
    <w:lvl w:ilvl="0" w:tplc="52226DA2">
      <w:start w:val="2"/>
      <w:numFmt w:val="decimal"/>
      <w:lvlText w:val="%1."/>
      <w:lvlJc w:val="left"/>
      <w:pPr>
        <w:ind w:left="720" w:hanging="360"/>
      </w:pPr>
      <w:rPr>
        <w:rFonts w:hint="default"/>
        <w:sz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39C679A"/>
    <w:multiLevelType w:val="hybridMultilevel"/>
    <w:tmpl w:val="373085A6"/>
    <w:lvl w:ilvl="0" w:tplc="56569EC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3CC2BD7"/>
    <w:multiLevelType w:val="hybridMultilevel"/>
    <w:tmpl w:val="8FECDF56"/>
    <w:lvl w:ilvl="0" w:tplc="8A2C43D4">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0" w15:restartNumberingAfterBreak="0">
    <w:nsid w:val="7BE71E5E"/>
    <w:multiLevelType w:val="hybridMultilevel"/>
    <w:tmpl w:val="4C608716"/>
    <w:lvl w:ilvl="0" w:tplc="23A25506">
      <w:start w:val="2"/>
      <w:numFmt w:val="bullet"/>
      <w:lvlText w:val="-"/>
      <w:lvlJc w:val="left"/>
      <w:pPr>
        <w:ind w:left="1069" w:hanging="360"/>
      </w:pPr>
      <w:rPr>
        <w:rFonts w:ascii="Calibri" w:eastAsiaTheme="minorHAnsi" w:hAnsi="Calibri" w:cs="Calibri"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31" w15:restartNumberingAfterBreak="0">
    <w:nsid w:val="7CF80E26"/>
    <w:multiLevelType w:val="hybridMultilevel"/>
    <w:tmpl w:val="C4E4D1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66983102">
    <w:abstractNumId w:val="9"/>
  </w:num>
  <w:num w:numId="2" w16cid:durableId="992492962">
    <w:abstractNumId w:val="28"/>
  </w:num>
  <w:num w:numId="3" w16cid:durableId="1215240778">
    <w:abstractNumId w:val="0"/>
  </w:num>
  <w:num w:numId="4" w16cid:durableId="1702172111">
    <w:abstractNumId w:val="26"/>
  </w:num>
  <w:num w:numId="5" w16cid:durableId="900792344">
    <w:abstractNumId w:val="18"/>
  </w:num>
  <w:num w:numId="6" w16cid:durableId="38289601">
    <w:abstractNumId w:val="13"/>
  </w:num>
  <w:num w:numId="7" w16cid:durableId="1088044430">
    <w:abstractNumId w:val="5"/>
  </w:num>
  <w:num w:numId="8" w16cid:durableId="993098184">
    <w:abstractNumId w:val="1"/>
  </w:num>
  <w:num w:numId="9" w16cid:durableId="967197273">
    <w:abstractNumId w:val="22"/>
  </w:num>
  <w:num w:numId="10" w16cid:durableId="60450380">
    <w:abstractNumId w:val="16"/>
  </w:num>
  <w:num w:numId="11" w16cid:durableId="402413521">
    <w:abstractNumId w:val="31"/>
  </w:num>
  <w:num w:numId="12" w16cid:durableId="1641380849">
    <w:abstractNumId w:val="4"/>
  </w:num>
  <w:num w:numId="13" w16cid:durableId="988247543">
    <w:abstractNumId w:val="27"/>
  </w:num>
  <w:num w:numId="14" w16cid:durableId="2134470879">
    <w:abstractNumId w:val="14"/>
  </w:num>
  <w:num w:numId="15" w16cid:durableId="312368618">
    <w:abstractNumId w:val="2"/>
  </w:num>
  <w:num w:numId="16" w16cid:durableId="1852648047">
    <w:abstractNumId w:val="20"/>
  </w:num>
  <w:num w:numId="17" w16cid:durableId="1854803386">
    <w:abstractNumId w:val="3"/>
  </w:num>
  <w:num w:numId="18" w16cid:durableId="2055806253">
    <w:abstractNumId w:val="21"/>
  </w:num>
  <w:num w:numId="19" w16cid:durableId="1646424319">
    <w:abstractNumId w:val="19"/>
  </w:num>
  <w:num w:numId="20" w16cid:durableId="820197680">
    <w:abstractNumId w:val="11"/>
  </w:num>
  <w:num w:numId="21" w16cid:durableId="1919362869">
    <w:abstractNumId w:val="8"/>
  </w:num>
  <w:num w:numId="22" w16cid:durableId="246037712">
    <w:abstractNumId w:val="12"/>
  </w:num>
  <w:num w:numId="23" w16cid:durableId="1990010979">
    <w:abstractNumId w:val="6"/>
  </w:num>
  <w:num w:numId="24" w16cid:durableId="1827435606">
    <w:abstractNumId w:val="25"/>
  </w:num>
  <w:num w:numId="25" w16cid:durableId="1086613640">
    <w:abstractNumId w:val="17"/>
  </w:num>
  <w:num w:numId="26" w16cid:durableId="1725248445">
    <w:abstractNumId w:val="23"/>
  </w:num>
  <w:num w:numId="27" w16cid:durableId="1820223202">
    <w:abstractNumId w:val="29"/>
  </w:num>
  <w:num w:numId="28" w16cid:durableId="1473788303">
    <w:abstractNumId w:val="10"/>
  </w:num>
  <w:num w:numId="29" w16cid:durableId="1581066089">
    <w:abstractNumId w:val="7"/>
  </w:num>
  <w:num w:numId="30" w16cid:durableId="1886984390">
    <w:abstractNumId w:val="30"/>
  </w:num>
  <w:num w:numId="31" w16cid:durableId="1129007361">
    <w:abstractNumId w:val="15"/>
  </w:num>
  <w:num w:numId="32" w16cid:durableId="38884360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033"/>
    <w:rsid w:val="00011016"/>
    <w:rsid w:val="000159DE"/>
    <w:rsid w:val="00024B22"/>
    <w:rsid w:val="00043483"/>
    <w:rsid w:val="0004658A"/>
    <w:rsid w:val="00047713"/>
    <w:rsid w:val="00057711"/>
    <w:rsid w:val="00060F2B"/>
    <w:rsid w:val="0006494A"/>
    <w:rsid w:val="0007024C"/>
    <w:rsid w:val="00073EAD"/>
    <w:rsid w:val="00095A1A"/>
    <w:rsid w:val="000A5220"/>
    <w:rsid w:val="000A5B85"/>
    <w:rsid w:val="000A6AED"/>
    <w:rsid w:val="000C2022"/>
    <w:rsid w:val="000C41ED"/>
    <w:rsid w:val="000D73C8"/>
    <w:rsid w:val="000E1E88"/>
    <w:rsid w:val="000E5D8E"/>
    <w:rsid w:val="00113CB0"/>
    <w:rsid w:val="0012164E"/>
    <w:rsid w:val="00140F5C"/>
    <w:rsid w:val="0015463B"/>
    <w:rsid w:val="00162B5C"/>
    <w:rsid w:val="0016404C"/>
    <w:rsid w:val="00170A70"/>
    <w:rsid w:val="00171185"/>
    <w:rsid w:val="0017124A"/>
    <w:rsid w:val="00176E36"/>
    <w:rsid w:val="001816E3"/>
    <w:rsid w:val="00184463"/>
    <w:rsid w:val="00185821"/>
    <w:rsid w:val="001A58E6"/>
    <w:rsid w:val="001B44B5"/>
    <w:rsid w:val="001B6EED"/>
    <w:rsid w:val="001C6033"/>
    <w:rsid w:val="001D524E"/>
    <w:rsid w:val="001D65F9"/>
    <w:rsid w:val="001E3AB3"/>
    <w:rsid w:val="001E5552"/>
    <w:rsid w:val="001E5ABB"/>
    <w:rsid w:val="001F57F5"/>
    <w:rsid w:val="001F5CF0"/>
    <w:rsid w:val="002005EF"/>
    <w:rsid w:val="00203938"/>
    <w:rsid w:val="00205FFC"/>
    <w:rsid w:val="002064E6"/>
    <w:rsid w:val="0022655F"/>
    <w:rsid w:val="00232DFF"/>
    <w:rsid w:val="00245690"/>
    <w:rsid w:val="00250E40"/>
    <w:rsid w:val="002604E5"/>
    <w:rsid w:val="00264AF4"/>
    <w:rsid w:val="002659EE"/>
    <w:rsid w:val="00271EAF"/>
    <w:rsid w:val="00277A5B"/>
    <w:rsid w:val="002A43B7"/>
    <w:rsid w:val="002B0357"/>
    <w:rsid w:val="002E2087"/>
    <w:rsid w:val="00302A7D"/>
    <w:rsid w:val="00304857"/>
    <w:rsid w:val="00306431"/>
    <w:rsid w:val="00310EC2"/>
    <w:rsid w:val="00312F99"/>
    <w:rsid w:val="003226EE"/>
    <w:rsid w:val="003250DA"/>
    <w:rsid w:val="00337A8F"/>
    <w:rsid w:val="003440FD"/>
    <w:rsid w:val="003538B6"/>
    <w:rsid w:val="00364332"/>
    <w:rsid w:val="00367A94"/>
    <w:rsid w:val="0037164B"/>
    <w:rsid w:val="00373D77"/>
    <w:rsid w:val="00375673"/>
    <w:rsid w:val="0039226B"/>
    <w:rsid w:val="00393019"/>
    <w:rsid w:val="0039706F"/>
    <w:rsid w:val="003A0156"/>
    <w:rsid w:val="003A227E"/>
    <w:rsid w:val="003A3014"/>
    <w:rsid w:val="003C05C1"/>
    <w:rsid w:val="003C3090"/>
    <w:rsid w:val="003C31FD"/>
    <w:rsid w:val="003C7B49"/>
    <w:rsid w:val="003E1096"/>
    <w:rsid w:val="003F4912"/>
    <w:rsid w:val="004026B4"/>
    <w:rsid w:val="004050E0"/>
    <w:rsid w:val="00413E87"/>
    <w:rsid w:val="0043650B"/>
    <w:rsid w:val="0044244F"/>
    <w:rsid w:val="00445E99"/>
    <w:rsid w:val="00451C53"/>
    <w:rsid w:val="0048173E"/>
    <w:rsid w:val="00490DB2"/>
    <w:rsid w:val="004A09AD"/>
    <w:rsid w:val="004A3C9C"/>
    <w:rsid w:val="004A6662"/>
    <w:rsid w:val="004B064F"/>
    <w:rsid w:val="004B76F9"/>
    <w:rsid w:val="004D06E3"/>
    <w:rsid w:val="004D184F"/>
    <w:rsid w:val="004E0559"/>
    <w:rsid w:val="004E1C6D"/>
    <w:rsid w:val="004E278E"/>
    <w:rsid w:val="004E37F6"/>
    <w:rsid w:val="004E708C"/>
    <w:rsid w:val="0050236F"/>
    <w:rsid w:val="005159A8"/>
    <w:rsid w:val="00517826"/>
    <w:rsid w:val="0052056C"/>
    <w:rsid w:val="00521540"/>
    <w:rsid w:val="0054713A"/>
    <w:rsid w:val="00550447"/>
    <w:rsid w:val="005664E8"/>
    <w:rsid w:val="00595120"/>
    <w:rsid w:val="005A79DA"/>
    <w:rsid w:val="005B0D22"/>
    <w:rsid w:val="005B4263"/>
    <w:rsid w:val="005C0D66"/>
    <w:rsid w:val="005C29E7"/>
    <w:rsid w:val="005C437C"/>
    <w:rsid w:val="005D375C"/>
    <w:rsid w:val="006049D5"/>
    <w:rsid w:val="00612F2F"/>
    <w:rsid w:val="0061727F"/>
    <w:rsid w:val="00640EBD"/>
    <w:rsid w:val="00665E16"/>
    <w:rsid w:val="0067285A"/>
    <w:rsid w:val="006750D3"/>
    <w:rsid w:val="00680F92"/>
    <w:rsid w:val="00687E0B"/>
    <w:rsid w:val="00691E8A"/>
    <w:rsid w:val="0069596A"/>
    <w:rsid w:val="00696737"/>
    <w:rsid w:val="006A61AA"/>
    <w:rsid w:val="006B3767"/>
    <w:rsid w:val="006C0F11"/>
    <w:rsid w:val="006D217C"/>
    <w:rsid w:val="006E1AC5"/>
    <w:rsid w:val="006E69E4"/>
    <w:rsid w:val="00714FCA"/>
    <w:rsid w:val="00717B29"/>
    <w:rsid w:val="00733F51"/>
    <w:rsid w:val="00737444"/>
    <w:rsid w:val="007427D1"/>
    <w:rsid w:val="00751E1F"/>
    <w:rsid w:val="0077649D"/>
    <w:rsid w:val="00781931"/>
    <w:rsid w:val="00783A52"/>
    <w:rsid w:val="00792F4D"/>
    <w:rsid w:val="007960A7"/>
    <w:rsid w:val="007B3511"/>
    <w:rsid w:val="007B50E1"/>
    <w:rsid w:val="007B5F76"/>
    <w:rsid w:val="007C15EB"/>
    <w:rsid w:val="007C4612"/>
    <w:rsid w:val="007D0045"/>
    <w:rsid w:val="007D1D13"/>
    <w:rsid w:val="007F141F"/>
    <w:rsid w:val="00803886"/>
    <w:rsid w:val="00804EB7"/>
    <w:rsid w:val="00813049"/>
    <w:rsid w:val="00814389"/>
    <w:rsid w:val="00817D4D"/>
    <w:rsid w:val="00823823"/>
    <w:rsid w:val="008355A4"/>
    <w:rsid w:val="0084005D"/>
    <w:rsid w:val="00847EA4"/>
    <w:rsid w:val="00850B25"/>
    <w:rsid w:val="00864E26"/>
    <w:rsid w:val="00866F60"/>
    <w:rsid w:val="00882A6A"/>
    <w:rsid w:val="00893CA7"/>
    <w:rsid w:val="008B0182"/>
    <w:rsid w:val="008B0C2C"/>
    <w:rsid w:val="008B77B1"/>
    <w:rsid w:val="008B7DD7"/>
    <w:rsid w:val="008E2D69"/>
    <w:rsid w:val="008E7F91"/>
    <w:rsid w:val="008F1B31"/>
    <w:rsid w:val="0090776B"/>
    <w:rsid w:val="00910D3F"/>
    <w:rsid w:val="00924018"/>
    <w:rsid w:val="00934E9E"/>
    <w:rsid w:val="00940544"/>
    <w:rsid w:val="00940FD4"/>
    <w:rsid w:val="00941053"/>
    <w:rsid w:val="0094356A"/>
    <w:rsid w:val="00946B56"/>
    <w:rsid w:val="00947D21"/>
    <w:rsid w:val="009600AE"/>
    <w:rsid w:val="00991B5F"/>
    <w:rsid w:val="009B17F2"/>
    <w:rsid w:val="009B6EFC"/>
    <w:rsid w:val="009C144F"/>
    <w:rsid w:val="009C7F7A"/>
    <w:rsid w:val="009D56A7"/>
    <w:rsid w:val="009D5865"/>
    <w:rsid w:val="009F7E36"/>
    <w:rsid w:val="00A078B5"/>
    <w:rsid w:val="00A20C7D"/>
    <w:rsid w:val="00A24412"/>
    <w:rsid w:val="00A36896"/>
    <w:rsid w:val="00A4109D"/>
    <w:rsid w:val="00A43279"/>
    <w:rsid w:val="00A47510"/>
    <w:rsid w:val="00A61285"/>
    <w:rsid w:val="00A76C67"/>
    <w:rsid w:val="00AC0522"/>
    <w:rsid w:val="00AC70CE"/>
    <w:rsid w:val="00B04EFB"/>
    <w:rsid w:val="00B11092"/>
    <w:rsid w:val="00B20FB4"/>
    <w:rsid w:val="00B23CA0"/>
    <w:rsid w:val="00B24D34"/>
    <w:rsid w:val="00B4300C"/>
    <w:rsid w:val="00B44779"/>
    <w:rsid w:val="00B60A21"/>
    <w:rsid w:val="00B67704"/>
    <w:rsid w:val="00B70A13"/>
    <w:rsid w:val="00B720F8"/>
    <w:rsid w:val="00B74043"/>
    <w:rsid w:val="00B772BC"/>
    <w:rsid w:val="00B87398"/>
    <w:rsid w:val="00B92EC7"/>
    <w:rsid w:val="00B93CEB"/>
    <w:rsid w:val="00BA343A"/>
    <w:rsid w:val="00BC064B"/>
    <w:rsid w:val="00BC30D8"/>
    <w:rsid w:val="00BC7B6F"/>
    <w:rsid w:val="00BD6D9B"/>
    <w:rsid w:val="00BE2EF8"/>
    <w:rsid w:val="00C04E26"/>
    <w:rsid w:val="00C0653D"/>
    <w:rsid w:val="00C152A5"/>
    <w:rsid w:val="00C168AD"/>
    <w:rsid w:val="00C278EE"/>
    <w:rsid w:val="00C34162"/>
    <w:rsid w:val="00C37BC9"/>
    <w:rsid w:val="00C447E4"/>
    <w:rsid w:val="00C50247"/>
    <w:rsid w:val="00C541DE"/>
    <w:rsid w:val="00C5652D"/>
    <w:rsid w:val="00C56EA0"/>
    <w:rsid w:val="00C97882"/>
    <w:rsid w:val="00CA394A"/>
    <w:rsid w:val="00CC2DB7"/>
    <w:rsid w:val="00CD124D"/>
    <w:rsid w:val="00CD5B8D"/>
    <w:rsid w:val="00CE1A45"/>
    <w:rsid w:val="00CE33F1"/>
    <w:rsid w:val="00CE4F92"/>
    <w:rsid w:val="00CF42DA"/>
    <w:rsid w:val="00D147DF"/>
    <w:rsid w:val="00D15D33"/>
    <w:rsid w:val="00D20BAD"/>
    <w:rsid w:val="00D20D97"/>
    <w:rsid w:val="00D2394A"/>
    <w:rsid w:val="00D263F3"/>
    <w:rsid w:val="00D3085F"/>
    <w:rsid w:val="00D33823"/>
    <w:rsid w:val="00D43F10"/>
    <w:rsid w:val="00D45027"/>
    <w:rsid w:val="00D5038D"/>
    <w:rsid w:val="00D640A6"/>
    <w:rsid w:val="00D748E0"/>
    <w:rsid w:val="00D90679"/>
    <w:rsid w:val="00D95F85"/>
    <w:rsid w:val="00D97A61"/>
    <w:rsid w:val="00DA0A94"/>
    <w:rsid w:val="00DA1604"/>
    <w:rsid w:val="00DB11CD"/>
    <w:rsid w:val="00DB4BD2"/>
    <w:rsid w:val="00DB5F57"/>
    <w:rsid w:val="00DC56E2"/>
    <w:rsid w:val="00DD1736"/>
    <w:rsid w:val="00DE36F2"/>
    <w:rsid w:val="00DE582B"/>
    <w:rsid w:val="00DF1859"/>
    <w:rsid w:val="00DF7E35"/>
    <w:rsid w:val="00E01451"/>
    <w:rsid w:val="00E066B1"/>
    <w:rsid w:val="00E133E5"/>
    <w:rsid w:val="00E172AA"/>
    <w:rsid w:val="00E32AC0"/>
    <w:rsid w:val="00E33728"/>
    <w:rsid w:val="00E353E2"/>
    <w:rsid w:val="00E41B99"/>
    <w:rsid w:val="00E43A3F"/>
    <w:rsid w:val="00E67499"/>
    <w:rsid w:val="00EA056E"/>
    <w:rsid w:val="00EC4C9D"/>
    <w:rsid w:val="00EE1A7A"/>
    <w:rsid w:val="00EF296A"/>
    <w:rsid w:val="00EF3419"/>
    <w:rsid w:val="00F12C76"/>
    <w:rsid w:val="00F12EEA"/>
    <w:rsid w:val="00F21E74"/>
    <w:rsid w:val="00F30FD3"/>
    <w:rsid w:val="00F3127E"/>
    <w:rsid w:val="00F33DC4"/>
    <w:rsid w:val="00F435D3"/>
    <w:rsid w:val="00F45224"/>
    <w:rsid w:val="00F46AF4"/>
    <w:rsid w:val="00F72E24"/>
    <w:rsid w:val="00F950FA"/>
    <w:rsid w:val="00FA6A2B"/>
    <w:rsid w:val="00FD79B3"/>
    <w:rsid w:val="00FE1495"/>
    <w:rsid w:val="00FE52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8623F"/>
  <w15:docId w15:val="{5D8E293A-D179-4F45-A855-70EE458AF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C603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1C6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1C6033"/>
    <w:pPr>
      <w:ind w:left="720"/>
      <w:contextualSpacing/>
    </w:pPr>
  </w:style>
  <w:style w:type="paragraph" w:styleId="Testofumetto">
    <w:name w:val="Balloon Text"/>
    <w:basedOn w:val="Normale"/>
    <w:link w:val="TestofumettoCarattere"/>
    <w:uiPriority w:val="99"/>
    <w:semiHidden/>
    <w:unhideWhenUsed/>
    <w:rsid w:val="0094054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0544"/>
    <w:rPr>
      <w:rFonts w:ascii="Tahoma" w:hAnsi="Tahoma" w:cs="Tahoma"/>
      <w:sz w:val="16"/>
      <w:szCs w:val="16"/>
    </w:rPr>
  </w:style>
  <w:style w:type="paragraph" w:styleId="Intestazione">
    <w:name w:val="header"/>
    <w:basedOn w:val="Normale"/>
    <w:link w:val="IntestazioneCarattere"/>
    <w:uiPriority w:val="99"/>
    <w:unhideWhenUsed/>
    <w:rsid w:val="001A58E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A58E6"/>
  </w:style>
  <w:style w:type="paragraph" w:styleId="Pidipagina">
    <w:name w:val="footer"/>
    <w:basedOn w:val="Normale"/>
    <w:link w:val="PidipaginaCarattere"/>
    <w:uiPriority w:val="99"/>
    <w:unhideWhenUsed/>
    <w:rsid w:val="001A58E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A58E6"/>
  </w:style>
  <w:style w:type="paragraph" w:styleId="Corpotesto">
    <w:name w:val="Body Text"/>
    <w:basedOn w:val="Normale"/>
    <w:link w:val="CorpotestoCarattere"/>
    <w:semiHidden/>
    <w:rsid w:val="00C56EA0"/>
    <w:pPr>
      <w:autoSpaceDE w:val="0"/>
      <w:autoSpaceDN w:val="0"/>
      <w:spacing w:after="0" w:line="240" w:lineRule="auto"/>
      <w:jc w:val="both"/>
    </w:pPr>
    <w:rPr>
      <w:rFonts w:ascii="Times New Roman" w:eastAsia="Times New Roman" w:hAnsi="Times New Roman" w:cs="Times New Roman"/>
      <w:lang w:eastAsia="it-IT"/>
    </w:rPr>
  </w:style>
  <w:style w:type="character" w:customStyle="1" w:styleId="CorpotestoCarattere">
    <w:name w:val="Corpo testo Carattere"/>
    <w:basedOn w:val="Carpredefinitoparagrafo"/>
    <w:link w:val="Corpotesto"/>
    <w:semiHidden/>
    <w:rsid w:val="00C56EA0"/>
    <w:rPr>
      <w:rFonts w:ascii="Times New Roman" w:eastAsia="Times New Roman" w:hAnsi="Times New Roman" w:cs="Times New Roman"/>
      <w:lang w:eastAsia="it-IT"/>
    </w:rPr>
  </w:style>
  <w:style w:type="table" w:customStyle="1" w:styleId="Grigliatabella1">
    <w:name w:val="Griglia tabella1"/>
    <w:basedOn w:val="Tabellanormale"/>
    <w:next w:val="Grigliatabella"/>
    <w:uiPriority w:val="59"/>
    <w:rsid w:val="00D33823"/>
    <w:pPr>
      <w:spacing w:after="0" w:line="240" w:lineRule="auto"/>
    </w:pPr>
    <w:rPr>
      <w:rFonts w:eastAsiaTheme="minorEastAsia"/>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unhideWhenUsed/>
    <w:rsid w:val="0015463B"/>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after="0" w:line="240" w:lineRule="auto"/>
      <w:ind w:left="1701" w:right="142"/>
    </w:pPr>
    <w:rPr>
      <w:rFonts w:ascii="Titillium" w:hAnsi="Titillium" w:cs="Titillium Web"/>
      <w:sz w:val="20"/>
      <w:szCs w:val="20"/>
    </w:rPr>
  </w:style>
  <w:style w:type="character" w:customStyle="1" w:styleId="TestonotaapidipaginaCarattere">
    <w:name w:val="Testo nota a piè di pagina Carattere"/>
    <w:basedOn w:val="Carpredefinitoparagrafo"/>
    <w:link w:val="Testonotaapidipagina"/>
    <w:uiPriority w:val="99"/>
    <w:rsid w:val="0015463B"/>
    <w:rPr>
      <w:rFonts w:ascii="Titillium" w:hAnsi="Titillium" w:cs="Titillium Web"/>
      <w:sz w:val="20"/>
      <w:szCs w:val="20"/>
    </w:rPr>
  </w:style>
  <w:style w:type="character" w:styleId="Rimandonotaapidipagina">
    <w:name w:val="footnote reference"/>
    <w:basedOn w:val="Carpredefinitoparagrafo"/>
    <w:uiPriority w:val="99"/>
    <w:semiHidden/>
    <w:unhideWhenUsed/>
    <w:rsid w:val="0015463B"/>
    <w:rPr>
      <w:vertAlign w:val="superscript"/>
    </w:rPr>
  </w:style>
  <w:style w:type="paragraph" w:styleId="NormaleWeb">
    <w:name w:val="Normal (Web)"/>
    <w:basedOn w:val="Normale"/>
    <w:uiPriority w:val="99"/>
    <w:semiHidden/>
    <w:unhideWhenUsed/>
    <w:rsid w:val="0015463B"/>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Revisione">
    <w:name w:val="Revision"/>
    <w:hidden/>
    <w:uiPriority w:val="99"/>
    <w:semiHidden/>
    <w:rsid w:val="00A20C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21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8D85A-556E-4897-BACE-6BD518F7A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280</Words>
  <Characters>1686</Characters>
  <Application>Microsoft Office Word</Application>
  <DocSecurity>0</DocSecurity>
  <Lines>27</Lines>
  <Paragraphs>16</Paragraphs>
  <ScaleCrop>false</ScaleCrop>
  <HeadingPairs>
    <vt:vector size="2" baseType="variant">
      <vt:variant>
        <vt:lpstr>Titolo</vt:lpstr>
      </vt:variant>
      <vt:variant>
        <vt:i4>1</vt:i4>
      </vt:variant>
    </vt:vector>
  </HeadingPairs>
  <TitlesOfParts>
    <vt:vector size="1" baseType="lpstr">
      <vt:lpstr>Personale dipendente dichiarazioni sui conflitti d’interessi</vt:lpstr>
    </vt:vector>
  </TitlesOfParts>
  <Company>Hewlett-Packard Company</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Personale dipendente dichiarazioni sui conflitti d’interessi</dc:title>
  <dc:creator>Berrocal Brigita Lily</dc:creator>
  <cp:lastModifiedBy>enkeleda cano</cp:lastModifiedBy>
  <cp:revision>3</cp:revision>
  <cp:lastPrinted>2023-10-19T13:09:00Z</cp:lastPrinted>
  <dcterms:created xsi:type="dcterms:W3CDTF">2026-04-19T12:00:00Z</dcterms:created>
  <dcterms:modified xsi:type="dcterms:W3CDTF">2026-04-19T12:01:00Z</dcterms:modified>
</cp:coreProperties>
</file>